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B7DC2">
      <w:pPr>
        <w:spacing w:line="276" w:lineRule="auto"/>
        <w:jc w:val="left"/>
        <w:rPr>
          <w:rFonts w:ascii="宋体" w:cs="宋体"/>
          <w:sz w:val="52"/>
          <w:szCs w:val="52"/>
        </w:rPr>
      </w:pPr>
      <w:r>
        <w:rPr>
          <w:rFonts w:hint="eastAsia" w:ascii="宋体" w:cs="宋体"/>
          <w:sz w:val="24"/>
          <w:szCs w:val="24"/>
        </w:rPr>
        <w:t xml:space="preserve"> </w:t>
      </w:r>
      <w:r>
        <w:rPr>
          <w:rFonts w:hint="eastAsia"/>
          <w:color w:val="000000"/>
          <w:sz w:val="44"/>
          <w:szCs w:val="44"/>
        </w:rPr>
        <w:drawing>
          <wp:inline distT="0" distB="0" distL="114300" distR="114300">
            <wp:extent cx="1295400" cy="946150"/>
            <wp:effectExtent l="0" t="0" r="0" b="6350"/>
            <wp:docPr id="5" name="图片 5" descr="1573529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573529106(1)"/>
                    <pic:cNvPicPr>
                      <a:picLocks noChangeAspect="1"/>
                    </pic:cNvPicPr>
                  </pic:nvPicPr>
                  <pic:blipFill>
                    <a:blip r:embed="rId4"/>
                    <a:stretch>
                      <a:fillRect/>
                    </a:stretch>
                  </pic:blipFill>
                  <pic:spPr>
                    <a:xfrm>
                      <a:off x="0" y="0"/>
                      <a:ext cx="1305446" cy="953091"/>
                    </a:xfrm>
                    <a:prstGeom prst="rect">
                      <a:avLst/>
                    </a:prstGeom>
                  </pic:spPr>
                </pic:pic>
              </a:graphicData>
            </a:graphic>
          </wp:inline>
        </w:drawing>
      </w:r>
      <w:bookmarkStart w:id="10" w:name="_GoBack"/>
      <w:bookmarkEnd w:id="10"/>
    </w:p>
    <w:p w14:paraId="517B3B80">
      <w:pPr>
        <w:jc w:val="center"/>
        <w:rPr>
          <w:color w:val="000000"/>
          <w:sz w:val="44"/>
          <w:szCs w:val="44"/>
        </w:rPr>
      </w:pPr>
      <w:bookmarkStart w:id="0" w:name="_Toc451610891"/>
      <w:bookmarkStart w:id="1" w:name="_Toc451610984"/>
    </w:p>
    <w:p w14:paraId="2614DD97">
      <w:pPr>
        <w:jc w:val="center"/>
        <w:rPr>
          <w:color w:val="000000"/>
          <w:sz w:val="44"/>
          <w:szCs w:val="44"/>
        </w:rPr>
      </w:pPr>
      <w:r>
        <w:rPr>
          <w:rFonts w:hint="eastAsia"/>
          <w:color w:val="000000"/>
          <w:sz w:val="44"/>
          <w:szCs w:val="44"/>
        </w:rPr>
        <w:t>衢州正邦电器配件有限公司</w:t>
      </w:r>
    </w:p>
    <w:p w14:paraId="6C3C40E1">
      <w:pPr>
        <w:rPr>
          <w:color w:val="000000"/>
          <w:sz w:val="44"/>
          <w:szCs w:val="44"/>
        </w:rPr>
      </w:pPr>
    </w:p>
    <w:p w14:paraId="79B40198">
      <w:pPr>
        <w:jc w:val="center"/>
        <w:rPr>
          <w:color w:val="000000"/>
          <w:sz w:val="44"/>
          <w:szCs w:val="44"/>
        </w:rPr>
      </w:pPr>
      <w:r>
        <w:rPr>
          <w:rFonts w:hint="eastAsia"/>
          <w:color w:val="000000"/>
          <w:sz w:val="44"/>
          <w:szCs w:val="44"/>
        </w:rPr>
        <w:t xml:space="preserve"> 社会责任报告</w:t>
      </w:r>
    </w:p>
    <w:p w14:paraId="61397B92">
      <w:pPr>
        <w:jc w:val="center"/>
        <w:rPr>
          <w:color w:val="000000"/>
          <w:sz w:val="44"/>
          <w:szCs w:val="44"/>
        </w:rPr>
      </w:pPr>
      <w:r>
        <w:rPr>
          <w:rFonts w:hint="eastAsia"/>
          <w:color w:val="000000"/>
          <w:sz w:val="44"/>
          <w:szCs w:val="44"/>
        </w:rPr>
        <w:t xml:space="preserve"> </w:t>
      </w:r>
    </w:p>
    <w:p w14:paraId="5C793E3D">
      <w:pPr>
        <w:jc w:val="center"/>
      </w:pPr>
      <w:r>
        <w:rPr>
          <w:rFonts w:hint="eastAsia" w:ascii="仿宋" w:eastAsia="仿宋"/>
          <w:b/>
          <w:color w:val="000000"/>
          <w:sz w:val="36"/>
          <w:szCs w:val="36"/>
        </w:rPr>
        <w:t>20</w:t>
      </w:r>
      <w:r>
        <w:rPr>
          <w:rFonts w:hint="eastAsia" w:ascii="仿宋" w:eastAsia="仿宋"/>
          <w:b/>
          <w:color w:val="000000"/>
          <w:sz w:val="36"/>
          <w:szCs w:val="36"/>
          <w:lang w:val="en-US" w:eastAsia="zh-CN"/>
        </w:rPr>
        <w:t>24</w:t>
      </w:r>
      <w:r>
        <w:rPr>
          <w:rFonts w:hint="eastAsia" w:ascii="仿宋" w:eastAsia="仿宋"/>
          <w:b/>
          <w:color w:val="000000"/>
          <w:sz w:val="36"/>
          <w:szCs w:val="36"/>
        </w:rPr>
        <w:t>年</w:t>
      </w:r>
      <w:r>
        <w:rPr>
          <w:rFonts w:hint="eastAsia" w:ascii="仿宋" w:eastAsia="仿宋"/>
          <w:b/>
          <w:color w:val="000000"/>
          <w:sz w:val="36"/>
          <w:szCs w:val="36"/>
          <w:lang w:val="en-US" w:eastAsia="zh-CN"/>
        </w:rPr>
        <w:t>6</w:t>
      </w:r>
      <w:r>
        <w:rPr>
          <w:rFonts w:hint="eastAsia" w:ascii="仿宋" w:eastAsia="仿宋"/>
          <w:b/>
          <w:color w:val="000000"/>
          <w:sz w:val="36"/>
          <w:szCs w:val="36"/>
        </w:rPr>
        <w:t>月</w:t>
      </w:r>
    </w:p>
    <w:p w14:paraId="212A5C61"/>
    <w:p w14:paraId="6458416E">
      <w:pPr>
        <w:widowControl/>
        <w:rPr>
          <w:rFonts w:ascii="宋体" w:cs="宋体"/>
          <w:b/>
          <w:bCs/>
          <w:color w:val="000000"/>
          <w:kern w:val="32"/>
          <w:sz w:val="44"/>
          <w:szCs w:val="44"/>
        </w:rPr>
      </w:pPr>
      <w:r>
        <w:rPr>
          <w:rFonts w:hint="eastAsia" w:ascii="宋体" w:cs="Times New Roman"/>
          <w:b/>
          <w:color w:val="000000"/>
          <w:sz w:val="28"/>
          <w:szCs w:val="24"/>
        </w:rPr>
        <w:drawing>
          <wp:inline distT="0" distB="0" distL="114300" distR="114300">
            <wp:extent cx="5272405" cy="2829560"/>
            <wp:effectExtent l="0" t="0" r="4445" b="8890"/>
            <wp:docPr id="2" name="图片 2" descr="1686645868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86645868055"/>
                    <pic:cNvPicPr>
                      <a:picLocks noChangeAspect="1"/>
                    </pic:cNvPicPr>
                  </pic:nvPicPr>
                  <pic:blipFill>
                    <a:blip r:embed="rId5"/>
                    <a:stretch>
                      <a:fillRect/>
                    </a:stretch>
                  </pic:blipFill>
                  <pic:spPr>
                    <a:xfrm>
                      <a:off x="0" y="0"/>
                      <a:ext cx="5272405" cy="2829560"/>
                    </a:xfrm>
                    <a:prstGeom prst="rect">
                      <a:avLst/>
                    </a:prstGeom>
                  </pic:spPr>
                </pic:pic>
              </a:graphicData>
            </a:graphic>
          </wp:inline>
        </w:drawing>
      </w:r>
      <w:r>
        <w:rPr>
          <w:rFonts w:hint="eastAsia" w:ascii="宋体" w:cs="Times New Roman"/>
          <w:b/>
          <w:color w:val="000000"/>
          <w:sz w:val="28"/>
          <w:szCs w:val="24"/>
        </w:rPr>
        <w:t xml:space="preserve"> </w:t>
      </w:r>
      <w:r>
        <w:rPr>
          <w:rFonts w:ascii="宋体" w:cs="Times New Roman"/>
          <w:b/>
          <w:color w:val="000000"/>
          <w:sz w:val="28"/>
          <w:szCs w:val="24"/>
        </w:rPr>
        <w:br w:type="page"/>
      </w:r>
      <w:r>
        <w:rPr>
          <w:rFonts w:hint="eastAsia" w:ascii="宋体" w:cs="宋体"/>
          <w:b/>
          <w:bCs/>
          <w:color w:val="000000"/>
          <w:kern w:val="32"/>
          <w:sz w:val="44"/>
          <w:szCs w:val="44"/>
        </w:rPr>
        <w:t>前言</w:t>
      </w:r>
    </w:p>
    <w:p w14:paraId="7B0C4402">
      <w:pPr>
        <w:spacing w:line="528" w:lineRule="auto"/>
        <w:ind w:firstLine="883" w:firstLineChars="200"/>
        <w:jc w:val="center"/>
        <w:rPr>
          <w:rFonts w:ascii="宋体" w:cs="宋体"/>
          <w:b/>
          <w:bCs/>
          <w:color w:val="000000"/>
          <w:kern w:val="32"/>
          <w:sz w:val="44"/>
          <w:szCs w:val="44"/>
        </w:rPr>
      </w:pPr>
    </w:p>
    <w:p w14:paraId="357BB2B8">
      <w:pPr>
        <w:spacing w:line="528" w:lineRule="auto"/>
        <w:ind w:firstLine="630" w:firstLineChars="300"/>
        <w:rPr>
          <w:rFonts w:ascii="宋体" w:cs="宋体"/>
          <w:color w:val="000000"/>
          <w:kern w:val="0"/>
          <w:szCs w:val="21"/>
        </w:rPr>
      </w:pPr>
      <w:r>
        <w:rPr>
          <w:rFonts w:hint="eastAsia" w:ascii="宋体" w:cs="宋体"/>
          <w:color w:val="000000"/>
          <w:kern w:val="0"/>
          <w:szCs w:val="21"/>
        </w:rPr>
        <w:t>本公司出具的社会责任报告，是依据国家有关社会责任方面的法律法规、规章及相关行业质量标准、规范等进行编制。报告中关于公司社会责任履行情况是对公司现状的真实反映，本公司对报告内容的客观性负责，对相关论述和结论真实性负责。</w:t>
      </w:r>
    </w:p>
    <w:p w14:paraId="39CD66A4">
      <w:pPr>
        <w:spacing w:line="528" w:lineRule="auto"/>
        <w:ind w:firstLine="420" w:firstLineChars="200"/>
        <w:rPr>
          <w:rFonts w:ascii="宋体" w:cs="宋体"/>
          <w:color w:val="000000"/>
          <w:kern w:val="0"/>
          <w:szCs w:val="21"/>
        </w:rPr>
      </w:pPr>
      <w:r>
        <w:rPr>
          <w:rFonts w:hint="eastAsia" w:ascii="宋体" w:cs="宋体"/>
          <w:color w:val="000000"/>
          <w:kern w:val="0"/>
          <w:szCs w:val="21"/>
        </w:rPr>
        <w:t>报告范围：</w:t>
      </w:r>
    </w:p>
    <w:p w14:paraId="1A3CEFA6">
      <w:pPr>
        <w:spacing w:line="528" w:lineRule="auto"/>
        <w:ind w:firstLine="630" w:firstLineChars="300"/>
        <w:rPr>
          <w:rFonts w:ascii="宋体" w:cs="宋体"/>
          <w:color w:val="000000"/>
          <w:kern w:val="0"/>
          <w:szCs w:val="21"/>
        </w:rPr>
      </w:pPr>
      <w:r>
        <w:rPr>
          <w:rFonts w:hint="eastAsia" w:ascii="宋体" w:cs="宋体"/>
          <w:color w:val="000000"/>
          <w:kern w:val="0"/>
          <w:szCs w:val="21"/>
        </w:rPr>
        <w:t>本报告的组织范围为衢州正邦电器配件有限公司。本报告描述了</w:t>
      </w:r>
      <w:r>
        <w:rPr>
          <w:rFonts w:ascii="宋体" w:cs="宋体"/>
          <w:color w:val="000000"/>
          <w:kern w:val="0"/>
          <w:szCs w:val="21"/>
        </w:rPr>
        <w:t>20</w:t>
      </w:r>
      <w:r>
        <w:rPr>
          <w:rFonts w:hint="eastAsia" w:ascii="宋体" w:cs="宋体"/>
          <w:color w:val="000000"/>
          <w:kern w:val="0"/>
          <w:szCs w:val="21"/>
          <w:lang w:val="en-US" w:eastAsia="zh-CN"/>
        </w:rPr>
        <w:t>23</w:t>
      </w:r>
      <w:r>
        <w:rPr>
          <w:rFonts w:hint="eastAsia" w:ascii="宋体" w:cs="宋体"/>
          <w:color w:val="000000"/>
          <w:kern w:val="0"/>
          <w:szCs w:val="21"/>
        </w:rPr>
        <w:t>年</w:t>
      </w:r>
      <w:r>
        <w:rPr>
          <w:rFonts w:hint="eastAsia" w:ascii="宋体" w:cs="宋体"/>
          <w:color w:val="000000"/>
          <w:kern w:val="0"/>
          <w:szCs w:val="21"/>
          <w:lang w:val="en-US" w:eastAsia="zh-CN"/>
        </w:rPr>
        <w:t>1</w:t>
      </w:r>
      <w:r>
        <w:rPr>
          <w:rFonts w:hint="eastAsia" w:ascii="宋体" w:cs="宋体"/>
          <w:color w:val="000000"/>
          <w:kern w:val="0"/>
          <w:szCs w:val="21"/>
        </w:rPr>
        <w:t>月</w:t>
      </w:r>
      <w:r>
        <w:rPr>
          <w:rFonts w:ascii="宋体" w:cs="宋体"/>
          <w:color w:val="000000"/>
          <w:kern w:val="0"/>
          <w:szCs w:val="21"/>
        </w:rPr>
        <w:t>1</w:t>
      </w:r>
      <w:r>
        <w:rPr>
          <w:rFonts w:hint="eastAsia" w:ascii="宋体" w:cs="宋体"/>
          <w:color w:val="000000"/>
          <w:kern w:val="0"/>
          <w:szCs w:val="21"/>
        </w:rPr>
        <w:t>日至</w:t>
      </w:r>
      <w:r>
        <w:rPr>
          <w:rFonts w:ascii="宋体" w:cs="宋体"/>
          <w:color w:val="000000"/>
          <w:kern w:val="0"/>
          <w:szCs w:val="21"/>
        </w:rPr>
        <w:t>20</w:t>
      </w:r>
      <w:r>
        <w:rPr>
          <w:rFonts w:hint="eastAsia" w:ascii="宋体" w:cs="宋体"/>
          <w:color w:val="000000"/>
          <w:kern w:val="0"/>
          <w:szCs w:val="21"/>
          <w:lang w:val="en-US" w:eastAsia="zh-CN"/>
        </w:rPr>
        <w:t>23</w:t>
      </w:r>
      <w:r>
        <w:rPr>
          <w:rFonts w:hint="eastAsia" w:ascii="宋体" w:cs="宋体"/>
          <w:color w:val="000000"/>
          <w:kern w:val="0"/>
          <w:szCs w:val="21"/>
        </w:rPr>
        <w:t>年</w:t>
      </w:r>
      <w:r>
        <w:rPr>
          <w:rFonts w:hint="eastAsia" w:ascii="宋体" w:cs="宋体"/>
          <w:color w:val="000000"/>
          <w:kern w:val="0"/>
          <w:szCs w:val="21"/>
          <w:lang w:val="en-US" w:eastAsia="zh-CN"/>
        </w:rPr>
        <w:t>12</w:t>
      </w:r>
      <w:r>
        <w:rPr>
          <w:rFonts w:hint="eastAsia" w:ascii="宋体" w:cs="宋体"/>
          <w:color w:val="000000"/>
          <w:kern w:val="0"/>
          <w:szCs w:val="21"/>
        </w:rPr>
        <w:t>月</w:t>
      </w:r>
      <w:r>
        <w:rPr>
          <w:rFonts w:ascii="宋体" w:cs="宋体"/>
          <w:color w:val="000000"/>
          <w:kern w:val="0"/>
          <w:szCs w:val="21"/>
        </w:rPr>
        <w:t>3</w:t>
      </w:r>
      <w:r>
        <w:rPr>
          <w:rFonts w:hint="eastAsia" w:ascii="宋体" w:cs="宋体"/>
          <w:color w:val="000000"/>
          <w:kern w:val="0"/>
          <w:szCs w:val="21"/>
          <w:lang w:val="en-US" w:eastAsia="zh-CN"/>
        </w:rPr>
        <w:t>1</w:t>
      </w:r>
      <w:r>
        <w:rPr>
          <w:rFonts w:hint="eastAsia" w:ascii="宋体" w:cs="宋体"/>
          <w:color w:val="000000"/>
          <w:kern w:val="0"/>
          <w:szCs w:val="21"/>
        </w:rPr>
        <w:t>日期间，公司在社会责任方面的措施和取得的绩效等。</w:t>
      </w:r>
    </w:p>
    <w:p w14:paraId="6DD9BF85">
      <w:pPr>
        <w:spacing w:line="528" w:lineRule="auto"/>
        <w:ind w:firstLine="630" w:firstLineChars="300"/>
        <w:rPr>
          <w:rFonts w:ascii="宋体" w:cs="宋体"/>
          <w:color w:val="000000"/>
          <w:kern w:val="0"/>
          <w:szCs w:val="21"/>
        </w:rPr>
      </w:pPr>
      <w:r>
        <w:rPr>
          <w:rFonts w:hint="eastAsia" w:ascii="宋体" w:cs="宋体"/>
          <w:color w:val="000000"/>
          <w:kern w:val="0"/>
          <w:szCs w:val="21"/>
        </w:rPr>
        <w:t>报告发布形式：</w:t>
      </w:r>
    </w:p>
    <w:p w14:paraId="44FACA0A">
      <w:pPr>
        <w:spacing w:line="528" w:lineRule="auto"/>
        <w:ind w:firstLine="630" w:firstLineChars="300"/>
        <w:rPr>
          <w:rFonts w:ascii="宋体" w:cs="宋体"/>
          <w:color w:val="000000"/>
          <w:kern w:val="0"/>
          <w:szCs w:val="21"/>
        </w:rPr>
      </w:pPr>
      <w:r>
        <w:rPr>
          <w:rFonts w:hint="eastAsia" w:ascii="宋体" w:cs="宋体"/>
          <w:color w:val="000000"/>
          <w:kern w:val="0"/>
          <w:szCs w:val="21"/>
        </w:rPr>
        <w:t>本公司每年定期发布一次社会责任报告，本报告以</w:t>
      </w:r>
      <w:r>
        <w:rPr>
          <w:rFonts w:ascii="宋体" w:cs="宋体"/>
          <w:color w:val="000000"/>
          <w:kern w:val="0"/>
          <w:szCs w:val="21"/>
        </w:rPr>
        <w:t>PDF</w:t>
      </w:r>
      <w:r>
        <w:rPr>
          <w:rFonts w:hint="eastAsia" w:ascii="宋体" w:cs="宋体"/>
          <w:color w:val="000000"/>
          <w:kern w:val="0"/>
          <w:szCs w:val="21"/>
        </w:rPr>
        <w:t>电子文档形式通过网络向社会</w:t>
      </w:r>
      <w:r>
        <w:rPr>
          <w:rFonts w:hint="eastAsia" w:ascii="宋体" w:cs="宋体"/>
          <w:kern w:val="0"/>
          <w:szCs w:val="21"/>
        </w:rPr>
        <w:t>公布</w:t>
      </w:r>
      <w:r>
        <w:rPr>
          <w:rFonts w:hint="eastAsia" w:ascii="宋体" w:cs="宋体"/>
          <w:color w:val="000000"/>
          <w:kern w:val="0"/>
          <w:szCs w:val="21"/>
        </w:rPr>
        <w:t>，欢迎下载阅读并提出宝贵意见。公司希望通过本报告的发布来吸收利益相关方的意和建议，获得改进机会，以推进社会责任与公司发展战略、运营管理的融合发展。</w:t>
      </w:r>
    </w:p>
    <w:p w14:paraId="7A52F9E0">
      <w:pPr>
        <w:spacing w:line="528" w:lineRule="auto"/>
        <w:ind w:firstLine="630" w:firstLineChars="300"/>
        <w:rPr>
          <w:rFonts w:ascii="宋体" w:cs="宋体"/>
          <w:color w:val="000000"/>
          <w:kern w:val="0"/>
          <w:szCs w:val="21"/>
        </w:rPr>
      </w:pPr>
    </w:p>
    <w:p w14:paraId="2F72A97B">
      <w:pPr>
        <w:wordWrap w:val="0"/>
        <w:spacing w:line="528" w:lineRule="auto"/>
        <w:ind w:firstLine="630" w:firstLineChars="300"/>
        <w:jc w:val="right"/>
        <w:rPr>
          <w:rFonts w:ascii="宋体" w:cs="宋体"/>
          <w:color w:val="000000"/>
          <w:kern w:val="0"/>
          <w:szCs w:val="21"/>
        </w:rPr>
      </w:pPr>
      <w:r>
        <w:rPr>
          <w:rFonts w:hint="eastAsia" w:ascii="宋体" w:cs="宋体"/>
          <w:color w:val="000000"/>
          <w:kern w:val="0"/>
          <w:szCs w:val="21"/>
        </w:rPr>
        <w:t xml:space="preserve">总经理： </w:t>
      </w:r>
      <w:r>
        <w:rPr>
          <w:rFonts w:hint="eastAsia" w:ascii="宋体" w:cs="宋体"/>
          <w:color w:val="000000"/>
          <w:kern w:val="0"/>
          <w:szCs w:val="21"/>
          <w:lang w:eastAsia="zh-CN"/>
        </w:rPr>
        <w:t>钱清松</w:t>
      </w:r>
      <w:r>
        <w:rPr>
          <w:rFonts w:hint="eastAsia" w:ascii="宋体" w:cs="宋体"/>
          <w:color w:val="000000"/>
          <w:kern w:val="0"/>
          <w:szCs w:val="21"/>
        </w:rPr>
        <w:t xml:space="preserve">      </w:t>
      </w:r>
    </w:p>
    <w:p w14:paraId="408FFFCA">
      <w:pPr>
        <w:pStyle w:val="62"/>
        <w:widowControl/>
        <w:numPr>
          <w:ilvl w:val="0"/>
          <w:numId w:val="1"/>
        </w:numPr>
        <w:ind w:firstLineChars="0"/>
        <w:jc w:val="left"/>
        <w:rPr>
          <w:rFonts w:ascii="宋体" w:cs="Times New Roman"/>
          <w:b/>
          <w:color w:val="000000"/>
          <w:sz w:val="28"/>
          <w:szCs w:val="24"/>
        </w:rPr>
      </w:pPr>
      <w:r>
        <w:rPr>
          <w:rFonts w:ascii="宋体" w:cs="宋体"/>
          <w:color w:val="000000"/>
          <w:kern w:val="0"/>
          <w:szCs w:val="21"/>
        </w:rPr>
        <w:br w:type="page"/>
      </w:r>
      <w:r>
        <w:rPr>
          <w:rFonts w:hint="eastAsia" w:ascii="宋体" w:cs="Times New Roman"/>
          <w:b/>
          <w:color w:val="000000"/>
          <w:sz w:val="28"/>
          <w:szCs w:val="24"/>
        </w:rPr>
        <w:t>衢州正邦电器配件有限公司</w:t>
      </w:r>
      <w:r>
        <w:rPr>
          <w:rFonts w:ascii="宋体" w:cs="Times New Roman"/>
          <w:b/>
          <w:color w:val="000000"/>
          <w:sz w:val="28"/>
          <w:szCs w:val="24"/>
        </w:rPr>
        <w:t>简介</w:t>
      </w:r>
    </w:p>
    <w:p w14:paraId="2824B31F">
      <w:pPr>
        <w:spacing w:line="600" w:lineRule="exact"/>
        <w:ind w:firstLine="420" w:firstLineChars="200"/>
        <w:rPr>
          <w:rFonts w:ascii="宋体" w:hAnsi="宋体" w:cs="宋体"/>
          <w:kern w:val="0"/>
        </w:rPr>
      </w:pPr>
      <w:r>
        <w:rPr>
          <w:rFonts w:ascii="宋体" w:hAnsi="宋体" w:cs="宋体"/>
          <w:kern w:val="0"/>
        </w:rPr>
        <w:t>衢州正邦电器配件有限公司（以下简称“正邦电器”）坐落于素有“四省通衢，两浙首站”之称的浙江省衢州市常山县，区位独特，交通十分便利，距离著名的“中国家电之都”浙江省慈溪市仅4个多小时车程。</w:t>
      </w:r>
    </w:p>
    <w:p w14:paraId="1AD88C3A">
      <w:pPr>
        <w:spacing w:line="600" w:lineRule="exact"/>
        <w:ind w:firstLine="420" w:firstLineChars="200"/>
        <w:rPr>
          <w:rFonts w:ascii="宋体" w:hAnsi="宋体" w:cs="宋体"/>
          <w:kern w:val="0"/>
        </w:rPr>
      </w:pPr>
      <w:r>
        <w:rPr>
          <w:rFonts w:hint="eastAsia" w:ascii="宋体" w:hAnsi="宋体" w:cs="宋体"/>
          <w:kern w:val="0"/>
        </w:rPr>
        <w:t>企业占地</w:t>
      </w:r>
      <w:r>
        <w:rPr>
          <w:rFonts w:ascii="宋体" w:hAnsi="宋体" w:cs="宋体"/>
          <w:kern w:val="0"/>
        </w:rPr>
        <w:t>25亩，总投资6400万元，总建筑面积17115㎡，主生产厂房建筑面积</w:t>
      </w:r>
      <w:r>
        <w:rPr>
          <w:rFonts w:hint="eastAsia" w:ascii="宋体" w:hAnsi="宋体" w:cs="宋体"/>
          <w:kern w:val="0"/>
        </w:rPr>
        <w:t>1</w:t>
      </w:r>
      <w:r>
        <w:rPr>
          <w:rFonts w:ascii="宋体" w:hAnsi="宋体" w:cs="宋体"/>
          <w:kern w:val="0"/>
        </w:rPr>
        <w:t>8000平米，目前已完成13000多平米的施工建设，2014年6月完成整个厂区的建设。</w:t>
      </w:r>
    </w:p>
    <w:p w14:paraId="0752FA32">
      <w:pPr>
        <w:spacing w:line="600" w:lineRule="exact"/>
        <w:ind w:firstLine="420" w:firstLineChars="200"/>
        <w:rPr>
          <w:rFonts w:ascii="宋体" w:hAnsi="宋体" w:cs="宋体"/>
          <w:kern w:val="0"/>
        </w:rPr>
      </w:pPr>
      <w:r>
        <w:rPr>
          <w:rFonts w:hint="eastAsia" w:ascii="宋体" w:hAnsi="宋体" w:cs="宋体"/>
          <w:kern w:val="0"/>
        </w:rPr>
        <w:t>公司秉承诚信、卓越、创新、高效的管理理念，严格按质量管理体系进行标准化运作，公司相继通过</w:t>
      </w:r>
      <w:r>
        <w:rPr>
          <w:rFonts w:ascii="宋体" w:hAnsi="宋体" w:cs="宋体"/>
          <w:kern w:val="0"/>
        </w:rPr>
        <w:t>ISO9001质量环境职业健康安全体系认证，生产产品获得UL、CCC、VDE 、BSMI等世界各国认证机构认证。经过不懈的努力公司已经迈向规模化、集团化经营。产品销往全国各地及出口欧美、东、中东、非洲等20多个国家和地区。并且与本科卫浴、赛亿电器、艾美特等国内知名的优秀企业有着良好的合作关系。</w:t>
      </w:r>
    </w:p>
    <w:p w14:paraId="02830F3B">
      <w:pPr>
        <w:spacing w:line="600" w:lineRule="exact"/>
        <w:ind w:firstLine="420" w:firstLineChars="200"/>
        <w:rPr>
          <w:rFonts w:ascii="宋体" w:hAnsi="宋体" w:cs="宋体"/>
          <w:kern w:val="0"/>
        </w:rPr>
      </w:pPr>
      <w:r>
        <w:rPr>
          <w:rFonts w:hint="eastAsia" w:ascii="宋体" w:hAnsi="宋体" w:cs="宋体"/>
          <w:kern w:val="0"/>
        </w:rPr>
        <w:t>正邦电器从创立之初便秉承“质量至上”的原则，始终认为资源有限而创造力无限，我们将一如既往地坚持我们对于产品质量的高标准、高要求，并在此基础上不断地对生产工艺以及新产品研发进行探索和创新，使企业逐步发展成为国内行业的领军企业并且具备与国外同行业顶尖企业相抗衡的实力，从而为我们的客户提供更为优质的商品和更为完善的服务。</w:t>
      </w:r>
    </w:p>
    <w:p w14:paraId="09E639A4">
      <w:pPr>
        <w:spacing w:line="600" w:lineRule="exact"/>
        <w:rPr>
          <w:rFonts w:ascii="宋体" w:hAnsi="宋体" w:cs="宋体"/>
          <w:kern w:val="0"/>
        </w:rPr>
      </w:pPr>
      <w:r>
        <w:rPr>
          <w:rFonts w:hint="eastAsia" w:ascii="宋体" w:hAnsi="宋体" w:cs="宋体"/>
          <w:kern w:val="0"/>
        </w:rPr>
        <w:t>邮</w:t>
      </w:r>
      <w:r>
        <w:rPr>
          <w:rFonts w:ascii="宋体" w:hAnsi="宋体" w:cs="宋体"/>
          <w:kern w:val="0"/>
        </w:rPr>
        <w:t xml:space="preserve">    编：324200</w:t>
      </w:r>
    </w:p>
    <w:p w14:paraId="358CCB5C">
      <w:pPr>
        <w:spacing w:line="600" w:lineRule="exact"/>
        <w:rPr>
          <w:rFonts w:ascii="宋体" w:hAnsi="宋体" w:cs="宋体"/>
          <w:kern w:val="0"/>
        </w:rPr>
      </w:pPr>
      <w:r>
        <w:rPr>
          <w:rFonts w:hint="eastAsia" w:ascii="宋体" w:hAnsi="宋体" w:cs="宋体"/>
          <w:kern w:val="0"/>
        </w:rPr>
        <w:t>电</w:t>
      </w:r>
      <w:r>
        <w:rPr>
          <w:rFonts w:ascii="宋体" w:hAnsi="宋体" w:cs="宋体"/>
          <w:kern w:val="0"/>
        </w:rPr>
        <w:t xml:space="preserve">    话：（0570）5666889</w:t>
      </w:r>
    </w:p>
    <w:p w14:paraId="489F7EB7">
      <w:pPr>
        <w:adjustRightInd w:val="0"/>
        <w:snapToGrid w:val="0"/>
        <w:rPr>
          <w:rFonts w:ascii="宋体" w:hAnsi="宋体" w:cs="宋体"/>
          <w:kern w:val="0"/>
        </w:rPr>
      </w:pPr>
      <w:r>
        <w:rPr>
          <w:rFonts w:hint="eastAsia" w:ascii="宋体" w:hAnsi="宋体" w:cs="宋体"/>
          <w:kern w:val="0"/>
        </w:rPr>
        <w:t>传</w:t>
      </w:r>
      <w:r>
        <w:rPr>
          <w:rFonts w:ascii="宋体" w:hAnsi="宋体" w:cs="宋体"/>
          <w:kern w:val="0"/>
        </w:rPr>
        <w:t xml:space="preserve">    真：（0570）5666883</w:t>
      </w:r>
      <w:r>
        <w:rPr>
          <w:rFonts w:hint="eastAsia" w:ascii="宋体" w:hAnsi="宋体" w:cs="宋体"/>
          <w:kern w:val="0"/>
        </w:rPr>
        <w:t xml:space="preserve">  </w:t>
      </w:r>
    </w:p>
    <w:p w14:paraId="49BDEF97">
      <w:pPr>
        <w:pStyle w:val="62"/>
        <w:widowControl/>
        <w:ind w:left="720" w:firstLine="0" w:firstLineChars="0"/>
        <w:jc w:val="left"/>
        <w:rPr>
          <w:rFonts w:ascii="宋体" w:cs="Times New Roman"/>
          <w:b/>
          <w:color w:val="000000"/>
          <w:sz w:val="28"/>
          <w:szCs w:val="24"/>
        </w:rPr>
      </w:pPr>
    </w:p>
    <w:p w14:paraId="0B0AEA7C">
      <w:pPr>
        <w:widowControl/>
        <w:jc w:val="left"/>
        <w:rPr>
          <w:rFonts w:ascii="宋体" w:cs="Times New Roman"/>
          <w:b/>
          <w:color w:val="000000"/>
          <w:sz w:val="28"/>
          <w:szCs w:val="24"/>
        </w:rPr>
      </w:pPr>
      <w:r>
        <w:rPr>
          <w:rFonts w:ascii="宋体" w:cs="Times New Roman"/>
          <w:b/>
          <w:color w:val="000000"/>
          <w:sz w:val="28"/>
          <w:szCs w:val="24"/>
        </w:rPr>
        <w:br w:type="page"/>
      </w:r>
    </w:p>
    <w:p w14:paraId="55D921DA">
      <w:pPr>
        <w:spacing w:line="560" w:lineRule="exact"/>
        <w:jc w:val="left"/>
        <w:rPr>
          <w:rFonts w:ascii="宋体" w:cs="Times New Roman"/>
          <w:b/>
          <w:color w:val="000000"/>
          <w:sz w:val="28"/>
          <w:szCs w:val="24"/>
        </w:rPr>
      </w:pPr>
      <w:r>
        <w:rPr>
          <w:rFonts w:hint="eastAsia" w:ascii="宋体" w:cs="Times New Roman"/>
          <w:b/>
          <w:color w:val="000000"/>
          <w:sz w:val="28"/>
          <w:szCs w:val="24"/>
        </w:rPr>
        <w:t>二、</w:t>
      </w:r>
      <w:r>
        <w:rPr>
          <w:rFonts w:ascii="宋体" w:cs="Times New Roman"/>
          <w:b/>
          <w:color w:val="000000"/>
          <w:sz w:val="28"/>
          <w:szCs w:val="24"/>
        </w:rPr>
        <w:t>组织架构</w:t>
      </w:r>
      <w:r>
        <w:rPr>
          <w:rFonts w:hint="eastAsia" w:ascii="宋体" w:cs="Times New Roman"/>
          <w:b/>
          <w:color w:val="000000"/>
          <w:sz w:val="28"/>
          <w:szCs w:val="24"/>
        </w:rPr>
        <w:t>及</w:t>
      </w:r>
      <w:r>
        <w:rPr>
          <w:rFonts w:ascii="宋体" w:cs="Times New Roman"/>
          <w:b/>
          <w:color w:val="000000"/>
          <w:sz w:val="28"/>
          <w:szCs w:val="24"/>
        </w:rPr>
        <w:t>主要产品</w:t>
      </w:r>
    </w:p>
    <w:p w14:paraId="02D06DEB">
      <w:pPr>
        <w:spacing w:before="156" w:beforeLines="50" w:after="156" w:afterLines="50" w:line="360" w:lineRule="auto"/>
        <w:outlineLvl w:val="0"/>
        <w:rPr>
          <w:rFonts w:ascii="宋体" w:cs="宋体"/>
          <w:color w:val="000000"/>
          <w:kern w:val="0"/>
          <w:szCs w:val="21"/>
        </w:rPr>
      </w:pPr>
      <w:r>
        <w:rPr>
          <w:rFonts w:ascii="宋体" w:cs="宋体"/>
          <w:color w:val="000000"/>
          <w:kern w:val="0"/>
          <w:szCs w:val="21"/>
        </w:rPr>
        <w:t>1</w:t>
      </w:r>
      <w:r>
        <w:rPr>
          <w:rFonts w:hint="eastAsia" w:ascii="宋体" w:cs="宋体"/>
          <w:color w:val="000000"/>
          <w:kern w:val="0"/>
          <w:szCs w:val="21"/>
        </w:rPr>
        <w:t>、组织</w:t>
      </w:r>
      <w:r>
        <w:rPr>
          <w:rFonts w:ascii="宋体" w:cs="宋体"/>
          <w:color w:val="000000"/>
          <w:kern w:val="0"/>
          <w:szCs w:val="21"/>
        </w:rPr>
        <w:t>架构图</w:t>
      </w:r>
    </w:p>
    <w:p w14:paraId="014F1106">
      <w:pPr>
        <w:snapToGrid w:val="0"/>
        <w:spacing w:line="300" w:lineRule="auto"/>
        <w:rPr>
          <w:rFonts w:ascii="宋体"/>
          <w:b/>
          <w:sz w:val="22"/>
        </w:rPr>
      </w:pPr>
      <w:r>
        <w:drawing>
          <wp:inline distT="0" distB="0" distL="114300" distR="114300">
            <wp:extent cx="5267325" cy="2127250"/>
            <wp:effectExtent l="0" t="0" r="952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67325" cy="2127250"/>
                    </a:xfrm>
                    <a:prstGeom prst="rect">
                      <a:avLst/>
                    </a:prstGeom>
                    <a:noFill/>
                    <a:ln>
                      <a:noFill/>
                    </a:ln>
                  </pic:spPr>
                </pic:pic>
              </a:graphicData>
            </a:graphic>
          </wp:inline>
        </w:drawing>
      </w:r>
    </w:p>
    <w:p w14:paraId="4E3A74F0">
      <w:pPr>
        <w:spacing w:before="156" w:beforeLines="50" w:after="156" w:afterLines="50" w:line="360" w:lineRule="auto"/>
        <w:outlineLvl w:val="0"/>
        <w:rPr>
          <w:rFonts w:ascii="宋体" w:cs="Times New Roman"/>
          <w:b/>
          <w:color w:val="000000"/>
          <w:sz w:val="24"/>
          <w:szCs w:val="24"/>
        </w:rPr>
      </w:pPr>
      <w:r>
        <w:rPr>
          <w:rFonts w:hint="eastAsia" w:ascii="宋体" w:cs="Times New Roman"/>
          <w:b/>
          <w:color w:val="000000"/>
          <w:sz w:val="24"/>
          <w:szCs w:val="24"/>
        </w:rPr>
        <w:t>2、</w:t>
      </w:r>
      <w:r>
        <w:rPr>
          <w:rFonts w:ascii="宋体" w:cs="Times New Roman"/>
          <w:b/>
          <w:color w:val="000000"/>
          <w:sz w:val="24"/>
          <w:szCs w:val="24"/>
        </w:rPr>
        <w:t>主要产品</w:t>
      </w:r>
    </w:p>
    <w:p w14:paraId="024F9954">
      <w:pPr>
        <w:pStyle w:val="60"/>
        <w:ind w:firstLine="420" w:firstLineChars="200"/>
        <w:rPr>
          <w:rFonts w:ascii="宋体" w:eastAsia="宋体" w:cs="宋体"/>
          <w:sz w:val="21"/>
          <w:szCs w:val="21"/>
        </w:rPr>
      </w:pPr>
      <w:r>
        <w:rPr>
          <w:rFonts w:hint="eastAsia" w:ascii="宋体" w:eastAsia="宋体" w:cs="宋体"/>
          <w:sz w:val="21"/>
          <w:szCs w:val="21"/>
        </w:rPr>
        <w:t>衢州正邦电器配件有限公司</w:t>
      </w:r>
      <w:r>
        <w:rPr>
          <w:rFonts w:ascii="宋体" w:eastAsia="宋体" w:cs="宋体"/>
          <w:sz w:val="21"/>
          <w:szCs w:val="21"/>
        </w:rPr>
        <w:t>是一家专业研发、生产和销售</w:t>
      </w:r>
      <w:r>
        <w:rPr>
          <w:rFonts w:hint="eastAsia" w:ascii="宋体" w:eastAsia="宋体" w:cs="宋体"/>
          <w:sz w:val="21"/>
          <w:szCs w:val="21"/>
        </w:rPr>
        <w:t>各类电线插头产品的</w:t>
      </w:r>
      <w:r>
        <w:rPr>
          <w:rFonts w:ascii="宋体" w:eastAsia="宋体" w:cs="宋体"/>
          <w:sz w:val="21"/>
          <w:szCs w:val="21"/>
        </w:rPr>
        <w:t>企业，</w:t>
      </w:r>
      <w:r>
        <w:rPr>
          <w:rFonts w:hint="eastAsia" w:ascii="宋体" w:eastAsia="宋体" w:cs="宋体"/>
          <w:sz w:val="21"/>
          <w:szCs w:val="21"/>
        </w:rPr>
        <w:t>产品主要涉及：电源线和插头产品等。</w:t>
      </w:r>
    </w:p>
    <w:p w14:paraId="0C8F3453">
      <w:pPr>
        <w:widowControl/>
        <w:spacing w:line="360" w:lineRule="auto"/>
        <w:jc w:val="left"/>
        <w:rPr>
          <w:rFonts w:ascii="宋体" w:cs="宋体"/>
          <w:color w:val="000000"/>
          <w:kern w:val="0"/>
          <w:szCs w:val="21"/>
        </w:rPr>
      </w:pPr>
    </w:p>
    <w:p w14:paraId="4AED346F">
      <w:pPr>
        <w:widowControl/>
        <w:spacing w:line="360" w:lineRule="auto"/>
        <w:jc w:val="left"/>
      </w:pPr>
      <w:r>
        <w:rPr>
          <w:rFonts w:ascii="宋体" w:cs="宋体"/>
          <w:color w:val="000000"/>
          <w:kern w:val="0"/>
          <w:szCs w:val="21"/>
        </w:rPr>
        <w:br w:type="page"/>
      </w:r>
      <w:r>
        <w:rPr>
          <w:rFonts w:hint="eastAsia" w:ascii="宋体" w:cs="Times New Roman"/>
          <w:b/>
          <w:color w:val="000000"/>
          <w:sz w:val="28"/>
          <w:szCs w:val="24"/>
        </w:rPr>
        <w:t>三、 社会责任</w:t>
      </w:r>
    </w:p>
    <w:p w14:paraId="6B27BAC3">
      <w:pPr>
        <w:pStyle w:val="60"/>
        <w:rPr>
          <w:rFonts w:ascii="宋体" w:eastAsia="宋体" w:cs="宋体"/>
          <w:b/>
          <w:sz w:val="23"/>
          <w:szCs w:val="23"/>
        </w:rPr>
      </w:pPr>
      <w:r>
        <w:rPr>
          <w:rFonts w:hint="eastAsia" w:ascii="宋体" w:eastAsia="宋体" w:cs="宋体"/>
          <w:b/>
          <w:sz w:val="23"/>
          <w:szCs w:val="23"/>
        </w:rPr>
        <w:t>（一）、公司治理</w:t>
      </w:r>
    </w:p>
    <w:p w14:paraId="12D05BAC">
      <w:pPr>
        <w:pStyle w:val="60"/>
        <w:ind w:firstLine="420" w:firstLineChars="200"/>
        <w:rPr>
          <w:rFonts w:ascii="宋体" w:eastAsia="宋体" w:cs="宋体"/>
          <w:sz w:val="21"/>
          <w:szCs w:val="21"/>
        </w:rPr>
      </w:pPr>
      <w:r>
        <w:rPr>
          <w:rFonts w:hint="eastAsia" w:ascii="宋体" w:eastAsia="宋体" w:cs="宋体"/>
          <w:sz w:val="21"/>
          <w:szCs w:val="21"/>
        </w:rPr>
        <w:t>公司不断完善组织治理机构，建立了科学的监控系统，定期评审高层领导的绩效，努力保证内外部审计独立性与有效性，有机协调了企业与各相关方的利益。</w:t>
      </w:r>
    </w:p>
    <w:p w14:paraId="15858DF3">
      <w:pPr>
        <w:pStyle w:val="60"/>
        <w:numPr>
          <w:ilvl w:val="0"/>
          <w:numId w:val="2"/>
        </w:numPr>
        <w:rPr>
          <w:rFonts w:ascii="宋体" w:eastAsia="宋体" w:cs="宋体"/>
          <w:sz w:val="21"/>
          <w:szCs w:val="21"/>
        </w:rPr>
      </w:pPr>
      <w:r>
        <w:rPr>
          <w:rFonts w:hint="eastAsia" w:ascii="宋体" w:eastAsia="宋体" w:cs="宋体"/>
          <w:sz w:val="21"/>
          <w:szCs w:val="21"/>
        </w:rPr>
        <w:t>组织行为的管理责任</w:t>
      </w:r>
    </w:p>
    <w:p w14:paraId="7378F542">
      <w:pPr>
        <w:pStyle w:val="60"/>
        <w:ind w:firstLine="420" w:firstLineChars="200"/>
        <w:rPr>
          <w:rFonts w:ascii="宋体" w:eastAsia="宋体" w:cs="宋体"/>
          <w:sz w:val="21"/>
          <w:szCs w:val="21"/>
        </w:rPr>
      </w:pPr>
      <w:r>
        <w:rPr>
          <w:rFonts w:hint="eastAsia" w:ascii="宋体" w:eastAsia="宋体" w:cs="宋体"/>
          <w:sz w:val="21"/>
          <w:szCs w:val="21"/>
        </w:rPr>
        <w:t>（</w:t>
      </w:r>
      <w:r>
        <w:rPr>
          <w:rFonts w:ascii="Calibri" w:hAnsi="Calibri" w:eastAsia="宋体" w:cs="Calibri"/>
          <w:sz w:val="21"/>
          <w:szCs w:val="21"/>
        </w:rPr>
        <w:t>1</w:t>
      </w:r>
      <w:r>
        <w:rPr>
          <w:rFonts w:hint="eastAsia" w:ascii="宋体" w:eastAsia="宋体" w:cs="宋体"/>
          <w:sz w:val="21"/>
          <w:szCs w:val="21"/>
        </w:rPr>
        <w:t>）明确经营责任、道德责任和法律责任</w:t>
      </w:r>
    </w:p>
    <w:p w14:paraId="2FAE0B2D">
      <w:pPr>
        <w:pStyle w:val="60"/>
        <w:ind w:firstLine="420" w:firstLineChars="200"/>
        <w:rPr>
          <w:rFonts w:ascii="宋体" w:eastAsia="宋体" w:cs="宋体"/>
          <w:sz w:val="21"/>
          <w:szCs w:val="21"/>
        </w:rPr>
      </w:pPr>
      <w:r>
        <w:rPr>
          <w:rFonts w:hint="eastAsia" w:ascii="宋体" w:eastAsia="宋体" w:cs="宋体"/>
          <w:sz w:val="21"/>
          <w:szCs w:val="21"/>
        </w:rPr>
        <w:t>公司根据《公司法》明确公司高级管理人员的责任、权利与义务，形成企业决策、执行和监督机构相互协调、相互制约的机制。公司定期对关键领导岗位进行监督、审计，促使高管人员肩负起忠实和勤勉义务，保证组织活动的合法性、规范性、有效性。</w:t>
      </w:r>
    </w:p>
    <w:p w14:paraId="01B884A7">
      <w:pPr>
        <w:pStyle w:val="60"/>
        <w:ind w:firstLine="420" w:firstLineChars="200"/>
        <w:rPr>
          <w:rFonts w:ascii="宋体" w:eastAsia="宋体" w:cs="宋体"/>
          <w:sz w:val="21"/>
          <w:szCs w:val="21"/>
        </w:rPr>
      </w:pPr>
      <w:r>
        <w:rPr>
          <w:rFonts w:hint="eastAsia" w:ascii="宋体" w:eastAsia="宋体" w:cs="宋体"/>
          <w:sz w:val="21"/>
          <w:szCs w:val="21"/>
        </w:rPr>
        <w:t>（</w:t>
      </w:r>
      <w:r>
        <w:rPr>
          <w:rFonts w:ascii="Calibri" w:hAnsi="Calibri" w:eastAsia="宋体" w:cs="Calibri"/>
          <w:sz w:val="21"/>
          <w:szCs w:val="21"/>
        </w:rPr>
        <w:t>2</w:t>
      </w:r>
      <w:r>
        <w:rPr>
          <w:rFonts w:hint="eastAsia" w:ascii="宋体" w:eastAsia="宋体" w:cs="宋体"/>
          <w:sz w:val="21"/>
          <w:szCs w:val="21"/>
        </w:rPr>
        <w:t>）落实财务责任</w:t>
      </w:r>
    </w:p>
    <w:p w14:paraId="02616FB7">
      <w:pPr>
        <w:pStyle w:val="60"/>
        <w:ind w:firstLine="420" w:firstLineChars="200"/>
        <w:rPr>
          <w:rFonts w:ascii="宋体" w:eastAsia="宋体" w:cs="宋体"/>
          <w:sz w:val="21"/>
          <w:szCs w:val="21"/>
        </w:rPr>
      </w:pPr>
      <w:r>
        <w:rPr>
          <w:rFonts w:hint="eastAsia" w:ascii="宋体" w:eastAsia="宋体" w:cs="宋体"/>
          <w:sz w:val="21"/>
          <w:szCs w:val="21"/>
        </w:rPr>
        <w:t>公司根据《会计法》等法律法规，对投资项目审批、结算管理、成本核算、费用报销、应收账款管理等做出明确规定，从而健全了财务制度。公司财务负责人由公司董事长任命，并得到股东同意，保证财务的独立运作。财务向公司股东负责，为公司经营提供相关财务服务与支持，从理财与管财角度履行责任。</w:t>
      </w:r>
    </w:p>
    <w:p w14:paraId="44194120">
      <w:pPr>
        <w:pStyle w:val="60"/>
        <w:ind w:firstLine="420" w:firstLineChars="200"/>
        <w:rPr>
          <w:rFonts w:ascii="宋体" w:eastAsia="宋体" w:cs="宋体"/>
          <w:sz w:val="21"/>
          <w:szCs w:val="21"/>
        </w:rPr>
      </w:pPr>
      <w:r>
        <w:rPr>
          <w:rFonts w:hint="eastAsia" w:ascii="宋体" w:eastAsia="宋体" w:cs="宋体"/>
          <w:sz w:val="21"/>
          <w:szCs w:val="21"/>
        </w:rPr>
        <w:t>（</w:t>
      </w:r>
      <w:r>
        <w:rPr>
          <w:rFonts w:ascii="Calibri" w:hAnsi="Calibri" w:eastAsia="宋体" w:cs="Calibri"/>
          <w:sz w:val="21"/>
          <w:szCs w:val="21"/>
        </w:rPr>
        <w:t>3</w:t>
      </w:r>
      <w:r>
        <w:rPr>
          <w:rFonts w:hint="eastAsia" w:ascii="宋体" w:eastAsia="宋体" w:cs="宋体"/>
          <w:sz w:val="21"/>
          <w:szCs w:val="21"/>
        </w:rPr>
        <w:t>）确保经营管理透明及信息及时披露</w:t>
      </w:r>
    </w:p>
    <w:p w14:paraId="0D287CBA">
      <w:pPr>
        <w:pStyle w:val="60"/>
        <w:ind w:firstLine="420" w:firstLineChars="200"/>
        <w:rPr>
          <w:rFonts w:ascii="宋体" w:eastAsia="宋体" w:cs="宋体"/>
          <w:sz w:val="21"/>
          <w:szCs w:val="21"/>
        </w:rPr>
      </w:pPr>
      <w:r>
        <w:rPr>
          <w:rFonts w:hint="eastAsia" w:ascii="宋体" w:eastAsia="宋体" w:cs="宋体"/>
          <w:sz w:val="21"/>
          <w:szCs w:val="21"/>
        </w:rPr>
        <w:t>公司严格按照信息披露制度要求，定期将财务变化、公司经营状况等信息和资料向股东报告，保证公司经营的透明化。</w:t>
      </w:r>
    </w:p>
    <w:p w14:paraId="154E910A">
      <w:pPr>
        <w:pStyle w:val="60"/>
        <w:ind w:firstLine="420" w:firstLineChars="200"/>
        <w:rPr>
          <w:rFonts w:ascii="宋体" w:eastAsia="宋体" w:cs="宋体"/>
          <w:sz w:val="21"/>
          <w:szCs w:val="21"/>
        </w:rPr>
      </w:pPr>
      <w:r>
        <w:rPr>
          <w:rFonts w:hint="eastAsia" w:ascii="宋体" w:eastAsia="宋体" w:cs="宋体"/>
          <w:sz w:val="21"/>
          <w:szCs w:val="21"/>
        </w:rPr>
        <w:t>（</w:t>
      </w:r>
      <w:r>
        <w:rPr>
          <w:rFonts w:ascii="Calibri" w:hAnsi="Calibri" w:eastAsia="宋体" w:cs="Calibri"/>
          <w:sz w:val="21"/>
          <w:szCs w:val="21"/>
        </w:rPr>
        <w:t>4</w:t>
      </w:r>
      <w:r>
        <w:rPr>
          <w:rFonts w:hint="eastAsia" w:ascii="宋体" w:eastAsia="宋体" w:cs="宋体"/>
          <w:sz w:val="21"/>
          <w:szCs w:val="21"/>
        </w:rPr>
        <w:t>）审计的独立性</w:t>
      </w:r>
    </w:p>
    <w:p w14:paraId="6659207B">
      <w:pPr>
        <w:pStyle w:val="60"/>
        <w:ind w:firstLine="420" w:firstLineChars="200"/>
        <w:rPr>
          <w:rFonts w:ascii="宋体" w:eastAsia="宋体" w:cs="宋体"/>
          <w:sz w:val="21"/>
          <w:szCs w:val="21"/>
        </w:rPr>
      </w:pPr>
      <w:r>
        <w:rPr>
          <w:rFonts w:hint="eastAsia" w:ascii="宋体" w:eastAsia="宋体" w:cs="宋体"/>
          <w:sz w:val="21"/>
          <w:szCs w:val="21"/>
        </w:rPr>
        <w:t>公司股东每季度听取公司管理层关于公司各项营运情况的汇报，并就其关心的问题组织进行专项内部审计。公司定期委托</w:t>
      </w:r>
      <w:r>
        <w:rPr>
          <w:rFonts w:ascii="宋体" w:eastAsia="宋体" w:cs="宋体"/>
          <w:sz w:val="21"/>
          <w:szCs w:val="21"/>
        </w:rPr>
        <w:t>衢州中瑞华会计师事务所</w:t>
      </w:r>
      <w:r>
        <w:rPr>
          <w:rFonts w:hint="eastAsia" w:ascii="宋体" w:eastAsia="宋体" w:cs="宋体"/>
          <w:sz w:val="21"/>
          <w:szCs w:val="21"/>
        </w:rPr>
        <w:t>进行财务审计，对经营过程进行严格监控，逐步建立了完善的内部监控体系，确保财务数据合法、准确、真实。</w:t>
      </w:r>
    </w:p>
    <w:p w14:paraId="0C7DE744">
      <w:pPr>
        <w:pStyle w:val="60"/>
        <w:ind w:firstLine="420" w:firstLineChars="200"/>
        <w:rPr>
          <w:rFonts w:ascii="宋体" w:eastAsia="宋体" w:cs="宋体"/>
          <w:sz w:val="21"/>
          <w:szCs w:val="21"/>
        </w:rPr>
      </w:pPr>
      <w:r>
        <w:rPr>
          <w:rFonts w:hint="eastAsia" w:ascii="宋体" w:eastAsia="宋体" w:cs="宋体"/>
          <w:sz w:val="21"/>
          <w:szCs w:val="21"/>
        </w:rPr>
        <w:t>（</w:t>
      </w:r>
      <w:r>
        <w:rPr>
          <w:rFonts w:ascii="Calibri" w:hAnsi="Calibri" w:eastAsia="宋体" w:cs="Calibri"/>
          <w:sz w:val="21"/>
          <w:szCs w:val="21"/>
        </w:rPr>
        <w:t>5</w:t>
      </w:r>
      <w:r>
        <w:rPr>
          <w:rFonts w:hint="eastAsia" w:ascii="宋体" w:eastAsia="宋体" w:cs="宋体"/>
          <w:sz w:val="21"/>
          <w:szCs w:val="21"/>
        </w:rPr>
        <w:t>）股东及其他相关方利益的保护</w:t>
      </w:r>
    </w:p>
    <w:p w14:paraId="5C746C4F">
      <w:pPr>
        <w:pStyle w:val="60"/>
        <w:ind w:firstLine="420" w:firstLineChars="200"/>
        <w:rPr>
          <w:rFonts w:ascii="宋体" w:eastAsia="宋体" w:cs="宋体"/>
          <w:sz w:val="21"/>
          <w:szCs w:val="21"/>
        </w:rPr>
      </w:pPr>
      <w:r>
        <w:rPr>
          <w:rFonts w:hint="eastAsia" w:ascii="宋体" w:eastAsia="宋体" w:cs="宋体"/>
          <w:sz w:val="21"/>
          <w:szCs w:val="21"/>
        </w:rPr>
        <w:t>公司一贯坚持诚信共赢的经营理念，着眼企业持续发展，依据《公司法》等法律法规，进行公司信用体系建设，积极维护各相关方利益。</w:t>
      </w:r>
    </w:p>
    <w:p w14:paraId="4ADC15DE">
      <w:pPr>
        <w:pStyle w:val="60"/>
        <w:ind w:firstLine="840" w:firstLineChars="400"/>
        <w:rPr>
          <w:rFonts w:ascii="宋体" w:eastAsia="宋体" w:cs="宋体"/>
          <w:sz w:val="21"/>
          <w:szCs w:val="21"/>
        </w:rPr>
      </w:pPr>
      <w:r>
        <w:rPr>
          <w:rFonts w:hint="eastAsia" w:ascii="宋体" w:eastAsia="宋体" w:cs="宋体"/>
          <w:sz w:val="21"/>
          <w:szCs w:val="21"/>
        </w:rPr>
        <w:t>1)股东利益的保护： 为有效保护股东利益，定期对公司各高级管理人员职权行使、重大投资、财务收资和经济活动等组织行为进行监督、审计，保证公司活动的合法性、规范性、有效性。</w:t>
      </w:r>
    </w:p>
    <w:p w14:paraId="3692ACED">
      <w:pPr>
        <w:pStyle w:val="60"/>
        <w:ind w:firstLine="840" w:firstLineChars="400"/>
        <w:rPr>
          <w:rFonts w:ascii="宋体" w:eastAsia="宋体" w:cs="宋体"/>
          <w:szCs w:val="21"/>
        </w:rPr>
      </w:pPr>
      <w:r>
        <w:rPr>
          <w:rFonts w:hint="eastAsia" w:ascii="宋体" w:eastAsia="宋体" w:cs="宋体"/>
          <w:sz w:val="21"/>
          <w:szCs w:val="21"/>
        </w:rPr>
        <w:t>2)员工利益的保护：公司认真贯彻执行《劳动法》和《劳动法实施细则》等国家相关法律法规，依法与所有员工签订劳动合同，并将涉及员工利益的基本报酬、工作时间、休假、劳动安全、社会保险与福利、职业培训等内容进行具体规定，有效维护了员工的合法权益。另外，公司定期向工会和员工代表通报公司的经营情况和其他相关信息，保证公司的运营透明度，以及员工的参与权、知情权等各项民主权利。</w:t>
      </w:r>
    </w:p>
    <w:p w14:paraId="25F1C094">
      <w:pPr>
        <w:spacing w:before="156" w:beforeLines="50" w:after="156" w:afterLines="50"/>
        <w:ind w:firstLine="840" w:firstLineChars="400"/>
        <w:outlineLvl w:val="0"/>
        <w:rPr>
          <w:rFonts w:ascii="宋体" w:cs="宋体"/>
          <w:color w:val="000000"/>
          <w:kern w:val="0"/>
          <w:szCs w:val="21"/>
        </w:rPr>
      </w:pPr>
      <w:r>
        <w:rPr>
          <w:rFonts w:hint="eastAsia" w:ascii="宋体" w:cs="宋体"/>
          <w:szCs w:val="21"/>
        </w:rPr>
        <w:t>3)</w:t>
      </w:r>
      <w:r>
        <w:rPr>
          <w:rFonts w:hint="eastAsia" w:ascii="宋体" w:cs="宋体"/>
          <w:color w:val="000000"/>
          <w:kern w:val="0"/>
          <w:szCs w:val="21"/>
        </w:rPr>
        <w:t>顾客及供应商利益的保护： 公司以“ 认真做事，踏实做人”为核心价值观，推动顾客满意度的不断提升；以产品创新和管理创新为保障，实现了体系支撑能力的逐步提升。多年来公开、公正地选择、评价供应商，切实开展效能、过程监督，对主要供应商积极提供信息数据和工作支持，与各供应商建立良好的合作伙伴关系，实现合作共赢。</w:t>
      </w:r>
    </w:p>
    <w:p w14:paraId="4A97B084">
      <w:pPr>
        <w:autoSpaceDE w:val="0"/>
        <w:autoSpaceDN w:val="0"/>
        <w:adjustRightInd w:val="0"/>
        <w:ind w:firstLine="840" w:firstLineChars="400"/>
        <w:jc w:val="left"/>
        <w:rPr>
          <w:rFonts w:ascii="宋体" w:cs="宋体"/>
          <w:color w:val="000000"/>
          <w:kern w:val="0"/>
          <w:szCs w:val="21"/>
        </w:rPr>
      </w:pPr>
      <w:r>
        <w:rPr>
          <w:rFonts w:hint="eastAsia" w:ascii="宋体" w:cs="宋体"/>
          <w:color w:val="000000"/>
          <w:kern w:val="0"/>
          <w:szCs w:val="21"/>
        </w:rPr>
        <w:t>4)其他相关利益的保护： 公司依法纳税，积极投身环保、节能和社会公益事业，获得了政府、金融机构和广大社会大众的良好信誉和口碑。</w:t>
      </w:r>
    </w:p>
    <w:p w14:paraId="45E4000B">
      <w:pPr>
        <w:autoSpaceDE w:val="0"/>
        <w:autoSpaceDN w:val="0"/>
        <w:adjustRightInd w:val="0"/>
        <w:ind w:firstLine="420" w:firstLineChars="200"/>
        <w:jc w:val="left"/>
        <w:rPr>
          <w:rFonts w:ascii="宋体" w:cs="宋体"/>
          <w:color w:val="000000"/>
          <w:kern w:val="0"/>
          <w:szCs w:val="21"/>
        </w:rPr>
      </w:pPr>
    </w:p>
    <w:p w14:paraId="661798BB">
      <w:pPr>
        <w:autoSpaceDE w:val="0"/>
        <w:autoSpaceDN w:val="0"/>
        <w:adjustRightInd w:val="0"/>
        <w:jc w:val="left"/>
        <w:rPr>
          <w:rFonts w:ascii="宋体" w:cs="宋体"/>
          <w:color w:val="000000"/>
          <w:kern w:val="0"/>
          <w:szCs w:val="21"/>
        </w:rPr>
      </w:pPr>
      <w:r>
        <w:rPr>
          <w:rFonts w:cs="Calibri"/>
          <w:color w:val="000000"/>
          <w:kern w:val="0"/>
          <w:szCs w:val="21"/>
        </w:rPr>
        <w:t>2</w:t>
      </w:r>
      <w:r>
        <w:rPr>
          <w:rFonts w:hint="eastAsia" w:ascii="宋体" w:cs="宋体"/>
          <w:color w:val="000000"/>
          <w:kern w:val="0"/>
          <w:szCs w:val="21"/>
        </w:rPr>
        <w:t>、对高层领导开展定期绩效评价，实现公司领导系统的持续改善</w:t>
      </w:r>
      <w:r>
        <w:rPr>
          <w:rFonts w:ascii="宋体" w:cs="宋体"/>
          <w:color w:val="000000"/>
          <w:kern w:val="0"/>
          <w:szCs w:val="21"/>
        </w:rPr>
        <w:t xml:space="preserve"> </w:t>
      </w:r>
    </w:p>
    <w:p w14:paraId="54A88FB1">
      <w:pPr>
        <w:autoSpaceDE w:val="0"/>
        <w:autoSpaceDN w:val="0"/>
        <w:adjustRightInd w:val="0"/>
        <w:jc w:val="left"/>
        <w:rPr>
          <w:rFonts w:ascii="宋体" w:cs="宋体"/>
          <w:color w:val="000000"/>
          <w:kern w:val="0"/>
          <w:szCs w:val="21"/>
        </w:rPr>
      </w:pPr>
      <w:r>
        <w:rPr>
          <w:rFonts w:hint="eastAsia" w:ascii="宋体" w:cs="宋体"/>
          <w:color w:val="000000"/>
          <w:kern w:val="0"/>
          <w:szCs w:val="21"/>
        </w:rPr>
        <w:t>（</w:t>
      </w:r>
      <w:r>
        <w:rPr>
          <w:rFonts w:ascii="宋体" w:cs="宋体"/>
          <w:color w:val="000000"/>
          <w:kern w:val="0"/>
          <w:szCs w:val="21"/>
        </w:rPr>
        <w:t>1</w:t>
      </w:r>
      <w:r>
        <w:rPr>
          <w:rFonts w:hint="eastAsia" w:ascii="宋体" w:cs="宋体"/>
          <w:color w:val="000000"/>
          <w:kern w:val="0"/>
          <w:szCs w:val="21"/>
        </w:rPr>
        <w:t>） 对高层领导绩效的评价体系</w:t>
      </w:r>
      <w:r>
        <w:rPr>
          <w:rFonts w:ascii="宋体" w:cs="宋体"/>
          <w:color w:val="000000"/>
          <w:kern w:val="0"/>
          <w:szCs w:val="21"/>
        </w:rPr>
        <w:t xml:space="preserve"> </w:t>
      </w:r>
    </w:p>
    <w:p w14:paraId="369722DC">
      <w:pPr>
        <w:autoSpaceDE w:val="0"/>
        <w:autoSpaceDN w:val="0"/>
        <w:adjustRightInd w:val="0"/>
        <w:ind w:firstLine="420" w:firstLineChars="200"/>
        <w:jc w:val="left"/>
        <w:rPr>
          <w:rFonts w:ascii="宋体" w:cs="宋体"/>
          <w:color w:val="000000"/>
          <w:kern w:val="0"/>
          <w:szCs w:val="21"/>
        </w:rPr>
      </w:pPr>
      <w:r>
        <w:rPr>
          <w:rFonts w:hint="eastAsia" w:ascii="宋体" w:cs="宋体"/>
          <w:color w:val="000000"/>
          <w:kern w:val="0"/>
          <w:szCs w:val="21"/>
        </w:rPr>
        <w:t>公司股东每年依据下达的经营计划和KPI考核表，对公司高层领导总经理进行绩效考核和评价，评价方式主要采取高层领导述职和评价。评价维度包括战略目标完成情况、经营绩效、公司管理提升和团队培养等。绩效评价的结果决定高层领导的薪酬奖金、职务升迁。副总经理以下的中层领导由公司高层依据年度</w:t>
      </w:r>
      <w:r>
        <w:rPr>
          <w:rFonts w:ascii="宋体" w:cs="宋体"/>
          <w:color w:val="000000"/>
          <w:kern w:val="0"/>
          <w:szCs w:val="21"/>
        </w:rPr>
        <w:t>KPI</w:t>
      </w:r>
      <w:r>
        <w:rPr>
          <w:rFonts w:hint="eastAsia" w:ascii="宋体" w:cs="宋体"/>
          <w:color w:val="000000"/>
          <w:kern w:val="0"/>
          <w:szCs w:val="21"/>
        </w:rPr>
        <w:t>指标进行评价考核。</w:t>
      </w:r>
    </w:p>
    <w:p w14:paraId="11B913D8">
      <w:pPr>
        <w:autoSpaceDE w:val="0"/>
        <w:autoSpaceDN w:val="0"/>
        <w:adjustRightInd w:val="0"/>
        <w:ind w:firstLine="420" w:firstLineChars="200"/>
        <w:jc w:val="left"/>
        <w:rPr>
          <w:rFonts w:ascii="宋体" w:cs="宋体"/>
          <w:color w:val="000000"/>
          <w:kern w:val="0"/>
          <w:szCs w:val="21"/>
        </w:rPr>
      </w:pPr>
      <w:r>
        <w:rPr>
          <w:rFonts w:ascii="宋体" w:cs="宋体"/>
          <w:color w:val="000000"/>
          <w:kern w:val="0"/>
          <w:szCs w:val="21"/>
        </w:rPr>
        <w:t xml:space="preserve"> </w:t>
      </w:r>
    </w:p>
    <w:p w14:paraId="585D0F8D">
      <w:pPr>
        <w:autoSpaceDE w:val="0"/>
        <w:autoSpaceDN w:val="0"/>
        <w:adjustRightInd w:val="0"/>
        <w:jc w:val="left"/>
        <w:rPr>
          <w:rFonts w:ascii="宋体" w:cs="宋体"/>
          <w:color w:val="000000"/>
          <w:kern w:val="0"/>
          <w:szCs w:val="21"/>
        </w:rPr>
      </w:pPr>
      <w:r>
        <w:rPr>
          <w:rFonts w:hint="eastAsia" w:ascii="宋体" w:cs="宋体"/>
          <w:color w:val="000000"/>
          <w:kern w:val="0"/>
          <w:szCs w:val="21"/>
        </w:rPr>
        <w:t>（</w:t>
      </w:r>
      <w:r>
        <w:rPr>
          <w:rFonts w:ascii="宋体" w:cs="宋体"/>
          <w:color w:val="000000"/>
          <w:kern w:val="0"/>
          <w:szCs w:val="21"/>
        </w:rPr>
        <w:t>2</w:t>
      </w:r>
      <w:r>
        <w:rPr>
          <w:rFonts w:hint="eastAsia" w:ascii="宋体" w:cs="宋体"/>
          <w:color w:val="000000"/>
          <w:kern w:val="0"/>
          <w:szCs w:val="21"/>
        </w:rPr>
        <w:t>） 运用绩效评价结果改进领导系统效率</w:t>
      </w:r>
      <w:r>
        <w:rPr>
          <w:rFonts w:ascii="宋体" w:cs="宋体"/>
          <w:color w:val="000000"/>
          <w:kern w:val="0"/>
          <w:szCs w:val="21"/>
        </w:rPr>
        <w:t xml:space="preserve"> </w:t>
      </w:r>
    </w:p>
    <w:p w14:paraId="20676E07">
      <w:pPr>
        <w:autoSpaceDE w:val="0"/>
        <w:autoSpaceDN w:val="0"/>
        <w:adjustRightInd w:val="0"/>
        <w:ind w:firstLine="420" w:firstLineChars="200"/>
        <w:jc w:val="left"/>
        <w:rPr>
          <w:rFonts w:ascii="宋体" w:cs="宋体"/>
          <w:color w:val="000000"/>
          <w:kern w:val="0"/>
          <w:szCs w:val="21"/>
        </w:rPr>
      </w:pPr>
      <w:r>
        <w:rPr>
          <w:rFonts w:hint="eastAsia" w:ascii="宋体" w:cs="宋体"/>
          <w:color w:val="000000"/>
          <w:kern w:val="0"/>
          <w:szCs w:val="21"/>
        </w:rPr>
        <w:t>根据绩效评价的结果，公司高层展开原因分析，设定改进行动计划。对于高层领导和领导班子存在的不足，公司会根据知识结构不完善，团队执行力缺乏、工作激情不足等不同原因分类，通过加强培训、调整领导团队等方法加以改进，以保证领导系统的有效性。</w:t>
      </w:r>
      <w:r>
        <w:rPr>
          <w:rFonts w:ascii="宋体" w:cs="宋体"/>
          <w:color w:val="000000"/>
          <w:kern w:val="0"/>
          <w:szCs w:val="21"/>
        </w:rPr>
        <w:t xml:space="preserve"> </w:t>
      </w:r>
    </w:p>
    <w:p w14:paraId="60AFFF71">
      <w:pPr>
        <w:autoSpaceDE w:val="0"/>
        <w:autoSpaceDN w:val="0"/>
        <w:adjustRightInd w:val="0"/>
        <w:jc w:val="left"/>
        <w:rPr>
          <w:rFonts w:ascii="宋体" w:cs="宋体"/>
          <w:color w:val="000000"/>
          <w:kern w:val="0"/>
          <w:szCs w:val="21"/>
        </w:rPr>
      </w:pPr>
    </w:p>
    <w:p w14:paraId="50E729FF">
      <w:pPr>
        <w:autoSpaceDE w:val="0"/>
        <w:autoSpaceDN w:val="0"/>
        <w:adjustRightInd w:val="0"/>
        <w:jc w:val="left"/>
        <w:rPr>
          <w:rFonts w:cs="Calibri"/>
          <w:color w:val="000000"/>
          <w:kern w:val="0"/>
          <w:szCs w:val="21"/>
        </w:rPr>
      </w:pPr>
      <w:r>
        <w:rPr>
          <w:rFonts w:hint="eastAsia" w:cs="Calibri"/>
          <w:color w:val="000000"/>
          <w:kern w:val="0"/>
          <w:szCs w:val="21"/>
        </w:rPr>
        <w:t>3、 审计体系</w:t>
      </w:r>
    </w:p>
    <w:p w14:paraId="40C511DB">
      <w:pPr>
        <w:autoSpaceDE w:val="0"/>
        <w:autoSpaceDN w:val="0"/>
        <w:adjustRightInd w:val="0"/>
        <w:jc w:val="left"/>
        <w:rPr>
          <w:rFonts w:ascii="宋体" w:cs="宋体"/>
          <w:color w:val="000000"/>
          <w:kern w:val="0"/>
          <w:szCs w:val="21"/>
        </w:rPr>
      </w:pPr>
      <w:r>
        <w:rPr>
          <w:rFonts w:cs="Calibri"/>
          <w:color w:val="000000"/>
          <w:kern w:val="0"/>
          <w:szCs w:val="21"/>
        </w:rPr>
        <w:t>（1</w:t>
      </w:r>
      <w:r>
        <w:rPr>
          <w:rFonts w:hint="eastAsia" w:ascii="宋体" w:cs="宋体"/>
          <w:color w:val="000000"/>
          <w:kern w:val="0"/>
          <w:szCs w:val="21"/>
        </w:rPr>
        <w:t>） 公司内审机制；</w:t>
      </w:r>
    </w:p>
    <w:p w14:paraId="4553F59D">
      <w:pPr>
        <w:autoSpaceDE w:val="0"/>
        <w:autoSpaceDN w:val="0"/>
        <w:adjustRightInd w:val="0"/>
        <w:ind w:firstLine="420" w:firstLineChars="200"/>
        <w:jc w:val="left"/>
        <w:rPr>
          <w:rFonts w:ascii="宋体" w:cs="宋体"/>
          <w:color w:val="000000"/>
          <w:kern w:val="0"/>
          <w:szCs w:val="21"/>
        </w:rPr>
      </w:pPr>
      <w:r>
        <w:rPr>
          <w:rFonts w:hint="eastAsia" w:ascii="宋体" w:cs="宋体"/>
          <w:color w:val="000000"/>
          <w:kern w:val="0"/>
          <w:szCs w:val="21"/>
        </w:rPr>
        <w:t>公司股东定期组织实施内部监督，对公司经营管理进行系统化、规范化的审计；并不定期的对资金、采购、费用、合同等经营管理事项进行专项审计，审计负责人直接向公司股东负责，确保了审计人员的独立性和审计结果的客观性，对发现问题下达整改建议，并跟踪检查。通过内审制度的有效执行，公司管理日趋规范，各类经营风险得到有效控制。</w:t>
      </w:r>
    </w:p>
    <w:p w14:paraId="43939165">
      <w:pPr>
        <w:autoSpaceDE w:val="0"/>
        <w:autoSpaceDN w:val="0"/>
        <w:adjustRightInd w:val="0"/>
        <w:ind w:firstLine="420" w:firstLineChars="200"/>
        <w:jc w:val="left"/>
        <w:rPr>
          <w:rFonts w:ascii="宋体" w:cs="宋体"/>
          <w:color w:val="000000"/>
          <w:kern w:val="0"/>
          <w:szCs w:val="21"/>
        </w:rPr>
      </w:pPr>
    </w:p>
    <w:p w14:paraId="20F3148A">
      <w:pPr>
        <w:autoSpaceDE w:val="0"/>
        <w:autoSpaceDN w:val="0"/>
        <w:adjustRightInd w:val="0"/>
        <w:jc w:val="left"/>
        <w:rPr>
          <w:rFonts w:ascii="宋体" w:cs="宋体"/>
          <w:color w:val="000000"/>
          <w:kern w:val="0"/>
          <w:szCs w:val="21"/>
        </w:rPr>
      </w:pPr>
      <w:r>
        <w:rPr>
          <w:rFonts w:cs="Calibri"/>
          <w:color w:val="000000"/>
          <w:kern w:val="0"/>
          <w:szCs w:val="21"/>
        </w:rPr>
        <w:t>（2）</w:t>
      </w:r>
      <w:r>
        <w:rPr>
          <w:rFonts w:hint="eastAsia" w:ascii="宋体" w:cs="宋体"/>
          <w:color w:val="000000"/>
          <w:kern w:val="0"/>
          <w:szCs w:val="21"/>
        </w:rPr>
        <w:t>独立外部审计机构年度审计</w:t>
      </w:r>
    </w:p>
    <w:p w14:paraId="6906E61E">
      <w:pPr>
        <w:autoSpaceDE w:val="0"/>
        <w:autoSpaceDN w:val="0"/>
        <w:adjustRightInd w:val="0"/>
        <w:ind w:firstLine="630" w:firstLineChars="300"/>
        <w:jc w:val="left"/>
        <w:rPr>
          <w:rFonts w:ascii="宋体" w:cs="Times New Roman"/>
          <w:b/>
          <w:sz w:val="28"/>
          <w:szCs w:val="24"/>
        </w:rPr>
      </w:pPr>
      <w:r>
        <w:rPr>
          <w:rFonts w:hint="eastAsia" w:ascii="宋体" w:cs="宋体"/>
          <w:color w:val="000000"/>
          <w:kern w:val="0"/>
          <w:szCs w:val="21"/>
        </w:rPr>
        <w:t>公司</w:t>
      </w:r>
      <w:r>
        <w:rPr>
          <w:rFonts w:hint="eastAsia" w:ascii="宋体" w:cs="宋体"/>
          <w:szCs w:val="21"/>
        </w:rPr>
        <w:t>委托</w:t>
      </w:r>
      <w:r>
        <w:rPr>
          <w:rFonts w:ascii="宋体" w:cs="宋体"/>
          <w:szCs w:val="21"/>
        </w:rPr>
        <w:t>衢州中瑞华会计师事务所</w:t>
      </w:r>
      <w:r>
        <w:rPr>
          <w:rFonts w:hint="eastAsia" w:ascii="宋体" w:cs="宋体"/>
          <w:szCs w:val="21"/>
        </w:rPr>
        <w:t>对本公司进行财务审计。</w:t>
      </w:r>
      <w:r>
        <w:rPr>
          <w:rFonts w:hint="eastAsia" w:ascii="宋体" w:cs="宋体"/>
          <w:color w:val="000000"/>
          <w:kern w:val="0"/>
          <w:szCs w:val="21"/>
        </w:rPr>
        <w:t>财务审计机构都具备相应资质，具有相关专业的履职能力，与公司无关联利益，对审计机构提出的审计意见，近年来审计结果显示，公司财务管理符合相关方要求。</w:t>
      </w:r>
    </w:p>
    <w:bookmarkEnd w:id="0"/>
    <w:bookmarkEnd w:id="1"/>
    <w:p w14:paraId="1D3F9E21">
      <w:pPr>
        <w:spacing w:before="156" w:beforeLines="50" w:after="156" w:afterLines="50"/>
        <w:outlineLvl w:val="1"/>
        <w:rPr>
          <w:rFonts w:ascii="宋体" w:cs="宋体"/>
          <w:b/>
          <w:sz w:val="23"/>
          <w:szCs w:val="23"/>
        </w:rPr>
      </w:pPr>
      <w:bookmarkStart w:id="2" w:name="_Toc451610892"/>
      <w:bookmarkStart w:id="3" w:name="_Toc451610985"/>
      <w:r>
        <w:rPr>
          <w:rFonts w:hint="eastAsia" w:ascii="宋体" w:cs="宋体"/>
          <w:b/>
          <w:sz w:val="23"/>
          <w:szCs w:val="23"/>
        </w:rPr>
        <w:t>（二）、人权和职工保护</w:t>
      </w:r>
    </w:p>
    <w:p w14:paraId="19028AC7">
      <w:pPr>
        <w:autoSpaceDE w:val="0"/>
        <w:autoSpaceDN w:val="0"/>
        <w:adjustRightInd w:val="0"/>
        <w:ind w:firstLine="420" w:firstLineChars="200"/>
        <w:jc w:val="left"/>
        <w:rPr>
          <w:rFonts w:ascii="宋体" w:cs="宋体"/>
          <w:color w:val="000000"/>
          <w:kern w:val="0"/>
          <w:szCs w:val="21"/>
        </w:rPr>
      </w:pPr>
      <w:r>
        <w:rPr>
          <w:rFonts w:hint="eastAsia" w:ascii="宋体" w:cs="宋体"/>
          <w:color w:val="000000"/>
          <w:kern w:val="0"/>
          <w:szCs w:val="21"/>
        </w:rPr>
        <w:t>公司</w:t>
      </w:r>
      <w:r>
        <w:rPr>
          <w:rFonts w:ascii="宋体" w:cs="宋体"/>
          <w:color w:val="000000"/>
          <w:kern w:val="0"/>
          <w:szCs w:val="21"/>
        </w:rPr>
        <w:t>自成立以来严格遵守《中华人民共和国劳动法》、《中华人民共和国劳动合同法》等劳动和社会保障</w:t>
      </w:r>
      <w:r>
        <w:rPr>
          <w:rFonts w:hint="eastAsia" w:ascii="宋体" w:cs="宋体"/>
          <w:color w:val="000000"/>
          <w:kern w:val="0"/>
          <w:szCs w:val="21"/>
        </w:rPr>
        <w:t>方面</w:t>
      </w:r>
      <w:r>
        <w:rPr>
          <w:rFonts w:ascii="宋体" w:cs="宋体"/>
          <w:color w:val="000000"/>
          <w:kern w:val="0"/>
          <w:szCs w:val="21"/>
        </w:rPr>
        <w:t>的法律、法规和规章</w:t>
      </w:r>
      <w:r>
        <w:rPr>
          <w:rFonts w:hint="eastAsia" w:ascii="宋体" w:cs="宋体"/>
          <w:color w:val="000000"/>
          <w:kern w:val="0"/>
          <w:szCs w:val="21"/>
        </w:rPr>
        <w:t>。</w:t>
      </w:r>
      <w:r>
        <w:rPr>
          <w:rFonts w:ascii="宋体" w:cs="宋体"/>
          <w:color w:val="000000"/>
          <w:kern w:val="0"/>
          <w:szCs w:val="21"/>
        </w:rPr>
        <w:t>实行劳动合同制，与</w:t>
      </w:r>
      <w:r>
        <w:rPr>
          <w:rFonts w:hint="eastAsia" w:ascii="宋体" w:cs="宋体"/>
          <w:color w:val="000000"/>
          <w:kern w:val="0"/>
          <w:szCs w:val="21"/>
        </w:rPr>
        <w:t>所有员工</w:t>
      </w:r>
      <w:r>
        <w:rPr>
          <w:rFonts w:ascii="宋体" w:cs="宋体"/>
          <w:color w:val="000000"/>
          <w:kern w:val="0"/>
          <w:szCs w:val="21"/>
        </w:rPr>
        <w:t>按照《劳动合同法》的有关规定签订了《劳动合同》，并为员工提供了社会保障计划。目前，公司已根据国家及地方的有关规定，为员工缴纳了养老保险金、工伤保险金、医疗保险金、失业保</w:t>
      </w:r>
      <w:r>
        <w:rPr>
          <w:rFonts w:hint="eastAsia" w:ascii="宋体" w:cs="宋体"/>
          <w:color w:val="000000"/>
          <w:kern w:val="0"/>
          <w:szCs w:val="21"/>
        </w:rPr>
        <w:t>险</w:t>
      </w:r>
      <w:r>
        <w:rPr>
          <w:rFonts w:ascii="宋体" w:cs="宋体"/>
          <w:color w:val="000000"/>
          <w:kern w:val="0"/>
          <w:szCs w:val="21"/>
        </w:rPr>
        <w:t>金、生育保险金和住房公积金。</w:t>
      </w:r>
      <w:r>
        <w:rPr>
          <w:rFonts w:hint="eastAsia" w:ascii="宋体" w:cs="宋体"/>
          <w:color w:val="000000"/>
          <w:kern w:val="0"/>
          <w:szCs w:val="21"/>
        </w:rPr>
        <w:t>员工可享受法定休假、婚假、丧假、产假等带薪假期。公司和员工签订了劳动合同，并办理了</w:t>
      </w:r>
      <w:r>
        <w:rPr>
          <w:rFonts w:ascii="宋体" w:cs="宋体"/>
          <w:color w:val="000000"/>
          <w:kern w:val="0"/>
          <w:szCs w:val="21"/>
        </w:rPr>
        <w:t>社会保险。</w:t>
      </w:r>
      <w:r>
        <w:rPr>
          <w:rFonts w:hint="eastAsia" w:ascii="宋体" w:cs="宋体"/>
          <w:color w:val="000000"/>
          <w:kern w:val="0"/>
          <w:szCs w:val="21"/>
        </w:rPr>
        <w:t>同时，员工享有外出参观学习、发放过节福利、防暑降温药品等福利。公司</w:t>
      </w:r>
      <w:r>
        <w:rPr>
          <w:rFonts w:ascii="宋体" w:cs="宋体"/>
          <w:color w:val="000000"/>
          <w:kern w:val="0"/>
          <w:szCs w:val="21"/>
        </w:rPr>
        <w:t>不断完善员工反映问题和</w:t>
      </w:r>
      <w:r>
        <w:rPr>
          <w:rFonts w:hint="eastAsia" w:ascii="宋体" w:cs="宋体"/>
          <w:color w:val="000000"/>
          <w:kern w:val="0"/>
          <w:szCs w:val="21"/>
        </w:rPr>
        <w:t>诉求</w:t>
      </w:r>
      <w:r>
        <w:rPr>
          <w:rFonts w:ascii="宋体" w:cs="宋体"/>
          <w:color w:val="000000"/>
          <w:kern w:val="0"/>
          <w:szCs w:val="21"/>
        </w:rPr>
        <w:t>的渠道及处理机制</w:t>
      </w:r>
      <w:r>
        <w:rPr>
          <w:rFonts w:hint="eastAsia" w:ascii="宋体" w:cs="宋体"/>
          <w:color w:val="000000"/>
          <w:kern w:val="0"/>
          <w:szCs w:val="21"/>
        </w:rPr>
        <w:t>。员工可</w:t>
      </w:r>
      <w:r>
        <w:rPr>
          <w:rFonts w:ascii="宋体" w:cs="宋体"/>
          <w:color w:val="000000"/>
          <w:kern w:val="0"/>
          <w:szCs w:val="21"/>
        </w:rPr>
        <w:t>通过电话、微信</w:t>
      </w:r>
      <w:r>
        <w:rPr>
          <w:rFonts w:hint="eastAsia" w:ascii="宋体" w:cs="宋体"/>
          <w:color w:val="000000"/>
          <w:kern w:val="0"/>
          <w:szCs w:val="21"/>
        </w:rPr>
        <w:t>等</w:t>
      </w:r>
      <w:r>
        <w:rPr>
          <w:rFonts w:ascii="宋体" w:cs="宋体"/>
          <w:color w:val="000000"/>
          <w:kern w:val="0"/>
          <w:szCs w:val="21"/>
        </w:rPr>
        <w:t>渠道，反映</w:t>
      </w:r>
      <w:r>
        <w:rPr>
          <w:rFonts w:hint="eastAsia" w:ascii="宋体" w:cs="宋体"/>
          <w:color w:val="000000"/>
          <w:kern w:val="0"/>
          <w:szCs w:val="21"/>
        </w:rPr>
        <w:t>他们</w:t>
      </w:r>
      <w:r>
        <w:rPr>
          <w:rFonts w:ascii="宋体" w:cs="宋体"/>
          <w:color w:val="000000"/>
          <w:kern w:val="0"/>
          <w:szCs w:val="21"/>
        </w:rPr>
        <w:t>遇到或可能发生的问题。公司</w:t>
      </w:r>
      <w:r>
        <w:rPr>
          <w:rFonts w:hint="eastAsia" w:ascii="宋体" w:cs="宋体"/>
          <w:color w:val="000000"/>
          <w:kern w:val="0"/>
          <w:szCs w:val="21"/>
        </w:rPr>
        <w:t>高度</w:t>
      </w:r>
      <w:r>
        <w:rPr>
          <w:rFonts w:ascii="宋体" w:cs="宋体"/>
          <w:color w:val="000000"/>
          <w:kern w:val="0"/>
          <w:szCs w:val="21"/>
        </w:rPr>
        <w:t>重视员工申述</w:t>
      </w:r>
      <w:r>
        <w:rPr>
          <w:rFonts w:hint="eastAsia" w:ascii="宋体" w:cs="宋体"/>
          <w:color w:val="000000"/>
          <w:kern w:val="0"/>
          <w:szCs w:val="21"/>
        </w:rPr>
        <w:t>事件</w:t>
      </w:r>
      <w:r>
        <w:rPr>
          <w:rFonts w:ascii="宋体" w:cs="宋体"/>
          <w:color w:val="000000"/>
          <w:kern w:val="0"/>
          <w:szCs w:val="21"/>
        </w:rPr>
        <w:t>，保证处理程序正当、依据明确</w:t>
      </w:r>
      <w:r>
        <w:rPr>
          <w:rFonts w:hint="eastAsia" w:ascii="宋体" w:cs="宋体"/>
          <w:color w:val="000000"/>
          <w:kern w:val="0"/>
          <w:szCs w:val="21"/>
        </w:rPr>
        <w:t>、</w:t>
      </w:r>
      <w:r>
        <w:rPr>
          <w:rFonts w:ascii="宋体" w:cs="宋体"/>
          <w:color w:val="000000"/>
          <w:kern w:val="0"/>
          <w:szCs w:val="21"/>
        </w:rPr>
        <w:t>结果恰当，保障了员工的合法权益。</w:t>
      </w:r>
      <w:r>
        <w:rPr>
          <w:rFonts w:hint="eastAsia" w:ascii="宋体" w:cs="宋体"/>
          <w:color w:val="000000"/>
          <w:kern w:val="0"/>
          <w:szCs w:val="21"/>
        </w:rPr>
        <w:t xml:space="preserve"> </w:t>
      </w:r>
    </w:p>
    <w:p w14:paraId="30F50C67">
      <w:pPr>
        <w:autoSpaceDE w:val="0"/>
        <w:autoSpaceDN w:val="0"/>
        <w:adjustRightInd w:val="0"/>
        <w:ind w:firstLine="420" w:firstLineChars="200"/>
        <w:jc w:val="left"/>
        <w:rPr>
          <w:rFonts w:ascii="宋体" w:cs="宋体"/>
          <w:color w:val="000000"/>
          <w:kern w:val="0"/>
          <w:szCs w:val="21"/>
        </w:rPr>
      </w:pPr>
      <w:r>
        <w:rPr>
          <w:rFonts w:ascii="宋体" w:cs="宋体"/>
          <w:color w:val="000000"/>
          <w:kern w:val="0"/>
          <w:szCs w:val="21"/>
        </w:rPr>
        <w:t>公司通过各种方式，如</w:t>
      </w:r>
      <w:r>
        <w:rPr>
          <w:rFonts w:hint="eastAsia" w:ascii="宋体" w:cs="宋体"/>
          <w:color w:val="000000"/>
          <w:kern w:val="0"/>
          <w:szCs w:val="21"/>
        </w:rPr>
        <w:t>节庆</w:t>
      </w:r>
      <w:r>
        <w:rPr>
          <w:rFonts w:ascii="宋体" w:cs="宋体"/>
          <w:color w:val="000000"/>
          <w:kern w:val="0"/>
          <w:szCs w:val="21"/>
        </w:rPr>
        <w:t>文体活动等，丰富员工的工作和业余生活，构造和谐工作环境，激发员工爱心、积极性和创造性，促进公司和谐发展。</w:t>
      </w:r>
    </w:p>
    <w:p w14:paraId="5EE7FA22">
      <w:pPr>
        <w:autoSpaceDE w:val="0"/>
        <w:autoSpaceDN w:val="0"/>
        <w:adjustRightInd w:val="0"/>
        <w:ind w:firstLine="420" w:firstLineChars="200"/>
        <w:jc w:val="left"/>
        <w:rPr>
          <w:rFonts w:ascii="宋体" w:cs="宋体"/>
          <w:color w:val="000000"/>
          <w:kern w:val="0"/>
          <w:szCs w:val="21"/>
        </w:rPr>
      </w:pPr>
      <w:r>
        <w:rPr>
          <w:rFonts w:ascii="宋体" w:cs="宋体"/>
          <w:color w:val="000000"/>
          <w:kern w:val="0"/>
          <w:szCs w:val="21"/>
        </w:rPr>
        <w:t>公司高层领导通过短信/微信平台、合理化建议、员工满意度调查、员工座谈会、下基层参加部门例会、娱乐活动、午餐会等形式，调查、了解员工意见和建议，获取员工满意度信息。</w:t>
      </w:r>
      <w:r>
        <w:rPr>
          <w:rFonts w:hint="eastAsia" w:ascii="宋体" w:cs="宋体"/>
          <w:color w:val="000000"/>
          <w:kern w:val="0"/>
          <w:szCs w:val="21"/>
        </w:rPr>
        <w:t>相关投诉和建议</w:t>
      </w:r>
      <w:r>
        <w:rPr>
          <w:rFonts w:ascii="宋体" w:cs="宋体"/>
          <w:color w:val="000000"/>
          <w:kern w:val="0"/>
          <w:szCs w:val="21"/>
        </w:rPr>
        <w:t>问题由人事部负责跟踪督办，要求各相关职能部门在规定时间内进行处理。高层领导注重现场了解情况并在承诺时间内及时做出积极的反馈和处理。</w:t>
      </w:r>
    </w:p>
    <w:p w14:paraId="0F17FB8F">
      <w:pPr>
        <w:autoSpaceDE w:val="0"/>
        <w:autoSpaceDN w:val="0"/>
        <w:adjustRightInd w:val="0"/>
        <w:ind w:firstLine="420" w:firstLineChars="200"/>
        <w:jc w:val="left"/>
        <w:rPr>
          <w:rFonts w:ascii="宋体" w:cs="宋体"/>
          <w:color w:val="000000"/>
          <w:kern w:val="0"/>
          <w:szCs w:val="21"/>
        </w:rPr>
      </w:pPr>
      <w:r>
        <w:rPr>
          <w:rFonts w:hint="eastAsia" w:ascii="宋体" w:cs="宋体"/>
          <w:color w:val="000000"/>
          <w:kern w:val="0"/>
          <w:szCs w:val="21"/>
        </w:rPr>
        <w:t>公司已建立职业健康安全管理体系相关的手册和程序文件，在对危险源识别、评价和控制策划，职业健康安全管理目标策划，事件调查和处理，职业健康安全绩效评价等方面，充分保障了员工参与和协商的权利。</w:t>
      </w:r>
    </w:p>
    <w:p w14:paraId="3FE78AAC">
      <w:pPr>
        <w:autoSpaceDE w:val="0"/>
        <w:autoSpaceDN w:val="0"/>
        <w:adjustRightInd w:val="0"/>
        <w:ind w:firstLine="420" w:firstLineChars="200"/>
        <w:jc w:val="left"/>
        <w:rPr>
          <w:rFonts w:ascii="宋体" w:cs="宋体"/>
          <w:color w:val="000000"/>
          <w:kern w:val="0"/>
          <w:szCs w:val="21"/>
        </w:rPr>
      </w:pPr>
      <w:r>
        <w:rPr>
          <w:rFonts w:hint="eastAsia" w:ascii="宋体" w:cs="宋体"/>
          <w:color w:val="000000"/>
          <w:kern w:val="0"/>
          <w:szCs w:val="21"/>
        </w:rPr>
        <w:t>公司定期组织实施工作场所职业危害因素检测和职业病定期检测。公司全面实施了三级安全教育，定期实施环境和安全应急响应演练，设立了职业健康安全文化宣传栏，培育公司职业健康安全管理文化。公司自成立以来没有发生职业病伤害情况和严重安全生产事故。</w:t>
      </w:r>
    </w:p>
    <w:p w14:paraId="3F39E2D4">
      <w:pPr>
        <w:autoSpaceDE w:val="0"/>
        <w:autoSpaceDN w:val="0"/>
        <w:adjustRightInd w:val="0"/>
        <w:ind w:firstLine="420" w:firstLineChars="200"/>
        <w:jc w:val="left"/>
        <w:rPr>
          <w:rFonts w:ascii="宋体" w:cs="宋体"/>
          <w:color w:val="000000"/>
          <w:kern w:val="0"/>
          <w:szCs w:val="21"/>
        </w:rPr>
      </w:pPr>
      <w:r>
        <w:rPr>
          <w:rFonts w:hint="eastAsia" w:ascii="宋体" w:cs="宋体"/>
          <w:color w:val="000000"/>
          <w:kern w:val="0"/>
          <w:szCs w:val="21"/>
        </w:rPr>
        <w:t>公司根据岗位所要求的知识、经验、技能等情况，向员工提供同行业具有竞争力的薪酬福利。公司薪酬福利政策遵循</w:t>
      </w:r>
      <w:r>
        <w:rPr>
          <w:rFonts w:ascii="宋体" w:cs="宋体"/>
          <w:color w:val="000000"/>
          <w:kern w:val="0"/>
          <w:szCs w:val="21"/>
        </w:rPr>
        <w:t>“</w:t>
      </w:r>
      <w:r>
        <w:rPr>
          <w:rFonts w:hint="eastAsia" w:ascii="宋体" w:cs="宋体"/>
          <w:color w:val="000000"/>
          <w:kern w:val="0"/>
          <w:szCs w:val="21"/>
        </w:rPr>
        <w:t>内部公平性、外部竞争性</w:t>
      </w:r>
      <w:r>
        <w:rPr>
          <w:rFonts w:ascii="宋体" w:cs="宋体"/>
          <w:color w:val="000000"/>
          <w:kern w:val="0"/>
          <w:szCs w:val="21"/>
        </w:rPr>
        <w:t>”</w:t>
      </w:r>
      <w:r>
        <w:rPr>
          <w:rFonts w:hint="eastAsia" w:ascii="宋体" w:cs="宋体"/>
          <w:color w:val="000000"/>
          <w:kern w:val="0"/>
          <w:szCs w:val="21"/>
        </w:rPr>
        <w:t>原则。</w:t>
      </w:r>
    </w:p>
    <w:p w14:paraId="5A132213">
      <w:pPr>
        <w:autoSpaceDE w:val="0"/>
        <w:autoSpaceDN w:val="0"/>
        <w:adjustRightInd w:val="0"/>
        <w:ind w:firstLine="420" w:firstLineChars="200"/>
        <w:jc w:val="left"/>
        <w:rPr>
          <w:rFonts w:ascii="宋体" w:cs="宋体"/>
          <w:color w:val="000000"/>
          <w:kern w:val="0"/>
          <w:szCs w:val="21"/>
        </w:rPr>
      </w:pPr>
      <w:r>
        <w:rPr>
          <w:rFonts w:ascii="宋体" w:cs="宋体"/>
          <w:color w:val="000000"/>
          <w:kern w:val="0"/>
          <w:szCs w:val="21"/>
        </w:rPr>
        <w:t>1</w:t>
      </w:r>
      <w:r>
        <w:rPr>
          <w:rFonts w:hint="eastAsia" w:ascii="宋体" w:cs="宋体"/>
          <w:color w:val="000000"/>
          <w:kern w:val="0"/>
          <w:szCs w:val="21"/>
        </w:rPr>
        <w:t>、</w:t>
      </w:r>
      <w:r>
        <w:rPr>
          <w:rFonts w:ascii="宋体" w:cs="宋体"/>
          <w:color w:val="000000"/>
          <w:kern w:val="0"/>
          <w:szCs w:val="21"/>
        </w:rPr>
        <w:t xml:space="preserve"> </w:t>
      </w:r>
      <w:r>
        <w:rPr>
          <w:rFonts w:hint="eastAsia" w:ascii="宋体" w:cs="宋体"/>
          <w:color w:val="000000"/>
          <w:kern w:val="0"/>
          <w:szCs w:val="21"/>
        </w:rPr>
        <w:t>基本工资：根据员工岗位的贡献度、对组织的影响力、对知识要求以及工作环境危险性、市场水平等因素来综合确定，体现对员工基本价值、工作表现及贡献的认同。</w:t>
      </w:r>
    </w:p>
    <w:p w14:paraId="2C9B1E3F">
      <w:pPr>
        <w:autoSpaceDE w:val="0"/>
        <w:autoSpaceDN w:val="0"/>
        <w:adjustRightInd w:val="0"/>
        <w:ind w:firstLine="420" w:firstLineChars="200"/>
        <w:jc w:val="left"/>
        <w:rPr>
          <w:rFonts w:ascii="宋体" w:cs="宋体"/>
          <w:color w:val="000000"/>
          <w:kern w:val="0"/>
          <w:szCs w:val="21"/>
        </w:rPr>
      </w:pPr>
      <w:r>
        <w:rPr>
          <w:rFonts w:ascii="宋体" w:cs="宋体"/>
          <w:color w:val="000000"/>
          <w:kern w:val="0"/>
          <w:szCs w:val="21"/>
        </w:rPr>
        <w:t>2</w:t>
      </w:r>
      <w:r>
        <w:rPr>
          <w:rFonts w:hint="eastAsia" w:ascii="宋体" w:cs="宋体"/>
          <w:color w:val="000000"/>
          <w:kern w:val="0"/>
          <w:szCs w:val="21"/>
        </w:rPr>
        <w:t>、</w:t>
      </w:r>
      <w:r>
        <w:rPr>
          <w:rFonts w:ascii="宋体" w:cs="宋体"/>
          <w:color w:val="000000"/>
          <w:kern w:val="0"/>
          <w:szCs w:val="21"/>
        </w:rPr>
        <w:t xml:space="preserve"> </w:t>
      </w:r>
      <w:r>
        <w:rPr>
          <w:rFonts w:hint="eastAsia" w:ascii="宋体" w:cs="宋体"/>
          <w:color w:val="000000"/>
          <w:kern w:val="0"/>
          <w:szCs w:val="21"/>
        </w:rPr>
        <w:t>奖金：创造高绩效文化，将绩效和奖金相结合，有效保留和激励员工。奖金是对高绩效员工的额外奖励，根据个人和组织业绩综合评定。</w:t>
      </w:r>
    </w:p>
    <w:p w14:paraId="467B017E">
      <w:pPr>
        <w:autoSpaceDE w:val="0"/>
        <w:autoSpaceDN w:val="0"/>
        <w:adjustRightInd w:val="0"/>
        <w:ind w:firstLine="420" w:firstLineChars="200"/>
        <w:jc w:val="left"/>
        <w:rPr>
          <w:rFonts w:ascii="宋体" w:cs="宋体"/>
          <w:color w:val="000000"/>
          <w:kern w:val="0"/>
          <w:szCs w:val="21"/>
        </w:rPr>
      </w:pPr>
      <w:r>
        <w:rPr>
          <w:rFonts w:ascii="宋体" w:cs="宋体"/>
          <w:color w:val="000000"/>
          <w:kern w:val="0"/>
          <w:szCs w:val="21"/>
        </w:rPr>
        <w:t>3</w:t>
      </w:r>
      <w:r>
        <w:rPr>
          <w:rFonts w:hint="eastAsia" w:ascii="宋体" w:cs="宋体"/>
          <w:color w:val="000000"/>
          <w:kern w:val="0"/>
          <w:szCs w:val="21"/>
        </w:rPr>
        <w:t>、</w:t>
      </w:r>
      <w:r>
        <w:rPr>
          <w:rFonts w:ascii="宋体" w:cs="宋体"/>
          <w:color w:val="000000"/>
          <w:kern w:val="0"/>
          <w:szCs w:val="21"/>
        </w:rPr>
        <w:t xml:space="preserve"> </w:t>
      </w:r>
      <w:r>
        <w:rPr>
          <w:rFonts w:hint="eastAsia" w:ascii="宋体" w:cs="宋体"/>
          <w:color w:val="000000"/>
          <w:kern w:val="0"/>
          <w:szCs w:val="21"/>
        </w:rPr>
        <w:t>福利：福利是薪酬体系重要组成部分，是对员工生活的保障。包含：各类补贴（工龄补贴、通讯补贴、交通补贴、餐贴等）、</w:t>
      </w:r>
      <w:r>
        <w:rPr>
          <w:rFonts w:ascii="宋体" w:cs="宋体"/>
          <w:color w:val="000000"/>
          <w:kern w:val="0"/>
          <w:szCs w:val="21"/>
        </w:rPr>
        <w:t>“</w:t>
      </w:r>
      <w:r>
        <w:rPr>
          <w:rFonts w:hint="eastAsia" w:ascii="宋体" w:cs="宋体"/>
          <w:color w:val="000000"/>
          <w:kern w:val="0"/>
          <w:szCs w:val="21"/>
        </w:rPr>
        <w:t>五险一金</w:t>
      </w:r>
      <w:r>
        <w:rPr>
          <w:rFonts w:ascii="宋体" w:cs="宋体"/>
          <w:color w:val="000000"/>
          <w:kern w:val="0"/>
          <w:szCs w:val="21"/>
        </w:rPr>
        <w:t>”</w:t>
      </w:r>
      <w:r>
        <w:rPr>
          <w:rFonts w:hint="eastAsia" w:ascii="宋体" w:cs="宋体"/>
          <w:color w:val="000000"/>
          <w:kern w:val="0"/>
          <w:szCs w:val="21"/>
        </w:rPr>
        <w:t>（商业保险、养老保险、医疗保险、失业保险、生育保险、工伤保险、住房公积金）、员工活动经费等。</w:t>
      </w:r>
    </w:p>
    <w:p w14:paraId="4898A39C">
      <w:pPr>
        <w:autoSpaceDE w:val="0"/>
        <w:autoSpaceDN w:val="0"/>
        <w:adjustRightInd w:val="0"/>
        <w:ind w:firstLine="420" w:firstLineChars="200"/>
        <w:jc w:val="left"/>
        <w:rPr>
          <w:rFonts w:ascii="宋体" w:cs="宋体"/>
          <w:color w:val="000000"/>
          <w:kern w:val="0"/>
          <w:szCs w:val="21"/>
        </w:rPr>
      </w:pPr>
    </w:p>
    <w:p w14:paraId="668EE251">
      <w:pPr>
        <w:autoSpaceDE w:val="0"/>
        <w:autoSpaceDN w:val="0"/>
        <w:adjustRightInd w:val="0"/>
        <w:ind w:firstLine="420" w:firstLineChars="200"/>
        <w:jc w:val="left"/>
        <w:rPr>
          <w:rFonts w:ascii="宋体" w:cs="宋体"/>
          <w:color w:val="000000"/>
          <w:kern w:val="0"/>
          <w:szCs w:val="21"/>
        </w:rPr>
      </w:pPr>
      <w:r>
        <w:rPr>
          <w:rFonts w:hint="eastAsia" w:ascii="宋体" w:cs="宋体"/>
          <w:color w:val="000000"/>
          <w:kern w:val="0"/>
          <w:szCs w:val="21"/>
        </w:rPr>
        <w:t>公司支持社会就业，并通过建立和不断完善员工招聘培训激励制度，为员工提供了公平的基于绩效的晋升空间和</w:t>
      </w:r>
      <w:r>
        <w:rPr>
          <w:rFonts w:ascii="宋体" w:cs="宋体"/>
          <w:color w:val="000000"/>
          <w:kern w:val="0"/>
          <w:szCs w:val="21"/>
        </w:rPr>
        <w:t>广阔的发展通道</w:t>
      </w:r>
      <w:r>
        <w:rPr>
          <w:rFonts w:hint="eastAsia" w:ascii="宋体" w:cs="宋体"/>
          <w:color w:val="000000"/>
          <w:kern w:val="0"/>
          <w:szCs w:val="21"/>
        </w:rPr>
        <w:t>。</w:t>
      </w:r>
      <w:r>
        <w:rPr>
          <w:rFonts w:ascii="宋体" w:cs="宋体"/>
          <w:color w:val="000000"/>
          <w:kern w:val="0"/>
          <w:szCs w:val="21"/>
        </w:rPr>
        <w:t>从普通员工、技术岗位到管理岗位，给员工清晰的发展通预期，</w:t>
      </w:r>
      <w:r>
        <w:rPr>
          <w:rFonts w:hint="eastAsia" w:ascii="宋体" w:cs="宋体"/>
          <w:color w:val="000000"/>
          <w:kern w:val="0"/>
          <w:szCs w:val="21"/>
        </w:rPr>
        <w:t>促进员工和公司共同成长</w:t>
      </w:r>
      <w:r>
        <w:rPr>
          <w:rFonts w:ascii="宋体" w:cs="宋体"/>
          <w:color w:val="000000"/>
          <w:kern w:val="0"/>
          <w:szCs w:val="21"/>
        </w:rPr>
        <w:t>，帮助员工实现更好发展。</w:t>
      </w:r>
    </w:p>
    <w:p w14:paraId="18805FA5">
      <w:pPr>
        <w:topLinePunct/>
        <w:spacing w:line="360" w:lineRule="auto"/>
        <w:ind w:firstLine="420" w:firstLineChars="200"/>
        <w:rPr>
          <w:rFonts w:ascii="宋体" w:cs="宋体"/>
          <w:color w:val="000000"/>
          <w:kern w:val="0"/>
          <w:szCs w:val="21"/>
        </w:rPr>
      </w:pPr>
    </w:p>
    <w:p w14:paraId="0CC98589">
      <w:pPr>
        <w:spacing w:before="156" w:beforeLines="50" w:after="156" w:afterLines="50"/>
        <w:outlineLvl w:val="1"/>
        <w:rPr>
          <w:rFonts w:ascii="宋体" w:cs="宋体"/>
          <w:b/>
          <w:sz w:val="23"/>
          <w:szCs w:val="23"/>
        </w:rPr>
      </w:pPr>
      <w:r>
        <w:rPr>
          <w:rFonts w:hint="eastAsia" w:ascii="宋体" w:cs="宋体"/>
          <w:b/>
          <w:sz w:val="23"/>
          <w:szCs w:val="23"/>
        </w:rPr>
        <w:t>（三）、环境保护</w:t>
      </w:r>
    </w:p>
    <w:p w14:paraId="53ADD8DD">
      <w:pPr>
        <w:autoSpaceDE w:val="0"/>
        <w:autoSpaceDN w:val="0"/>
        <w:adjustRightInd w:val="0"/>
        <w:ind w:firstLine="420" w:firstLineChars="200"/>
        <w:jc w:val="left"/>
        <w:rPr>
          <w:rFonts w:ascii="宋体" w:cs="宋体"/>
          <w:color w:val="000000"/>
          <w:kern w:val="0"/>
          <w:szCs w:val="21"/>
        </w:rPr>
      </w:pPr>
      <w:r>
        <w:rPr>
          <w:rFonts w:hint="eastAsia" w:ascii="宋体" w:cs="宋体"/>
          <w:color w:val="000000"/>
          <w:kern w:val="0"/>
          <w:szCs w:val="21"/>
        </w:rPr>
        <w:t>公司自成立以来，始终坚持污染预防的环境保护理念，已建立并持续保持环境和能源管理体系，识别和收集有关环境管理的合规义务，并定期评价合规情况。公司的生产设施有关新改扩建活动，严格按环保三同时制度执行，已投产项目已通过当地环保主管机构的验收。公司定期组织实施污染物排放监测，公司自成立以来没有发生环境污染事故。</w:t>
      </w:r>
    </w:p>
    <w:p w14:paraId="3496B0CB">
      <w:pPr>
        <w:spacing w:before="156" w:beforeLines="50" w:after="156" w:afterLines="50"/>
        <w:outlineLvl w:val="1"/>
        <w:rPr>
          <w:rFonts w:ascii="宋体" w:cs="宋体"/>
          <w:b/>
          <w:sz w:val="23"/>
          <w:szCs w:val="23"/>
        </w:rPr>
      </w:pPr>
      <w:r>
        <w:rPr>
          <w:rFonts w:hint="eastAsia" w:ascii="宋体" w:cs="宋体"/>
          <w:b/>
          <w:sz w:val="23"/>
          <w:szCs w:val="23"/>
        </w:rPr>
        <w:t xml:space="preserve">    </w:t>
      </w:r>
    </w:p>
    <w:p w14:paraId="382B0A1B">
      <w:pPr>
        <w:spacing w:before="156" w:beforeLines="50" w:after="156" w:afterLines="50"/>
        <w:outlineLvl w:val="1"/>
        <w:rPr>
          <w:rFonts w:ascii="宋体" w:cs="宋体"/>
          <w:b/>
          <w:sz w:val="23"/>
          <w:szCs w:val="23"/>
        </w:rPr>
      </w:pPr>
      <w:r>
        <w:rPr>
          <w:rFonts w:hint="eastAsia" w:ascii="宋体" w:cs="宋体"/>
          <w:b/>
          <w:sz w:val="23"/>
          <w:szCs w:val="23"/>
        </w:rPr>
        <w:t>（四） 公平经营和消费者保护</w:t>
      </w:r>
    </w:p>
    <w:bookmarkEnd w:id="2"/>
    <w:bookmarkEnd w:id="3"/>
    <w:p w14:paraId="4D43DD7D">
      <w:pPr>
        <w:spacing w:before="156" w:beforeLines="50" w:after="156" w:afterLines="50"/>
        <w:outlineLvl w:val="1"/>
        <w:rPr>
          <w:rFonts w:hint="eastAsia" w:ascii="&amp;quot" w:hAnsi="&amp;quot" w:cs="宋体"/>
          <w:kern w:val="0"/>
          <w:sz w:val="24"/>
          <w:szCs w:val="24"/>
        </w:rPr>
      </w:pPr>
      <w:r>
        <w:rPr>
          <w:rFonts w:hint="eastAsia" w:ascii="&amp;quot" w:hAnsi="&amp;quot" w:cs="宋体"/>
          <w:kern w:val="0"/>
          <w:sz w:val="24"/>
          <w:szCs w:val="24"/>
        </w:rPr>
        <w:t>（1）诚信营销</w:t>
      </w:r>
    </w:p>
    <w:p w14:paraId="397CB067">
      <w:pPr>
        <w:autoSpaceDE w:val="0"/>
        <w:autoSpaceDN w:val="0"/>
        <w:adjustRightInd w:val="0"/>
        <w:ind w:firstLine="420" w:firstLineChars="200"/>
        <w:jc w:val="left"/>
        <w:rPr>
          <w:rFonts w:ascii="宋体" w:cs="宋体"/>
          <w:color w:val="000000"/>
          <w:kern w:val="0"/>
          <w:szCs w:val="21"/>
        </w:rPr>
      </w:pPr>
      <w:r>
        <w:rPr>
          <w:rFonts w:ascii="宋体" w:cs="宋体"/>
          <w:color w:val="000000"/>
          <w:kern w:val="0"/>
          <w:szCs w:val="21"/>
        </w:rPr>
        <w:t>自成立以来，公司坚持“</w:t>
      </w:r>
      <w:r>
        <w:rPr>
          <w:rFonts w:hint="eastAsia"/>
        </w:rPr>
        <w:t xml:space="preserve"> 认真做事，踏实做人</w:t>
      </w:r>
      <w:r>
        <w:rPr>
          <w:rFonts w:ascii="宋体" w:cs="宋体"/>
          <w:color w:val="000000"/>
          <w:kern w:val="0"/>
          <w:szCs w:val="21"/>
        </w:rPr>
        <w:t>”的</w:t>
      </w:r>
      <w:r>
        <w:rPr>
          <w:rFonts w:hint="eastAsia" w:ascii="宋体" w:cs="宋体"/>
          <w:color w:val="000000"/>
          <w:kern w:val="0"/>
          <w:szCs w:val="21"/>
        </w:rPr>
        <w:t>核心价值观</w:t>
      </w:r>
      <w:r>
        <w:rPr>
          <w:rFonts w:ascii="宋体" w:cs="宋体"/>
          <w:color w:val="000000"/>
          <w:kern w:val="0"/>
          <w:szCs w:val="21"/>
        </w:rPr>
        <w:t xml:space="preserve">，生产优质产品，对企业内部员工负责，对消费者负责。在宣传中，公司实事求是，不夸大，不弄虚作假欺诈消费者，在市场上赢得了良好的口碑。 </w:t>
      </w:r>
    </w:p>
    <w:p w14:paraId="5344A4B2">
      <w:pPr>
        <w:autoSpaceDE w:val="0"/>
        <w:autoSpaceDN w:val="0"/>
        <w:adjustRightInd w:val="0"/>
        <w:ind w:firstLine="420" w:firstLineChars="200"/>
        <w:jc w:val="left"/>
        <w:rPr>
          <w:rFonts w:ascii="宋体" w:cs="宋体"/>
          <w:color w:val="000000"/>
          <w:kern w:val="0"/>
          <w:szCs w:val="21"/>
        </w:rPr>
      </w:pPr>
      <w:r>
        <w:rPr>
          <w:rFonts w:ascii="宋体" w:cs="宋体"/>
          <w:color w:val="000000"/>
          <w:kern w:val="0"/>
          <w:szCs w:val="21"/>
        </w:rPr>
        <w:t xml:space="preserve">公司意识到，在产品质量就是企业生命的今天，产品质量俨然已成为一个企业在市场中立足的根本和发展的保证。产品质量的优劣决定产品的生命乃至企业的发展命运。没有质量就没有市场，没有质量就没有效益，没有质量就没有发展。 </w:t>
      </w:r>
    </w:p>
    <w:p w14:paraId="0C0EBD07">
      <w:pPr>
        <w:autoSpaceDE w:val="0"/>
        <w:autoSpaceDN w:val="0"/>
        <w:adjustRightInd w:val="0"/>
        <w:ind w:firstLine="420" w:firstLineChars="200"/>
        <w:jc w:val="left"/>
        <w:rPr>
          <w:rFonts w:ascii="宋体" w:cs="宋体"/>
          <w:color w:val="000000"/>
          <w:kern w:val="0"/>
          <w:szCs w:val="21"/>
        </w:rPr>
      </w:pPr>
      <w:r>
        <w:rPr>
          <w:rFonts w:ascii="宋体" w:cs="宋体"/>
          <w:color w:val="000000"/>
          <w:kern w:val="0"/>
          <w:szCs w:val="21"/>
        </w:rPr>
        <w:t>公司在车间</w:t>
      </w:r>
      <w:r>
        <w:rPr>
          <w:rFonts w:hint="eastAsia" w:ascii="宋体" w:cs="宋体"/>
          <w:color w:val="000000"/>
          <w:kern w:val="0"/>
          <w:szCs w:val="21"/>
        </w:rPr>
        <w:t>生产</w:t>
      </w:r>
      <w:r>
        <w:rPr>
          <w:rFonts w:ascii="宋体" w:cs="宋体"/>
          <w:color w:val="000000"/>
          <w:kern w:val="0"/>
          <w:szCs w:val="21"/>
        </w:rPr>
        <w:t>的每个环节都设有质检程序，专业的质检人员会层层把关，</w:t>
      </w:r>
      <w:r>
        <w:rPr>
          <w:rFonts w:hint="eastAsia" w:ascii="宋体" w:cs="宋体"/>
          <w:color w:val="000000"/>
          <w:kern w:val="0"/>
          <w:szCs w:val="21"/>
        </w:rPr>
        <w:t>不生产缺陷</w:t>
      </w:r>
      <w:r>
        <w:rPr>
          <w:rFonts w:ascii="宋体" w:cs="宋体"/>
          <w:color w:val="000000"/>
          <w:kern w:val="0"/>
          <w:szCs w:val="21"/>
        </w:rPr>
        <w:t>产品、</w:t>
      </w:r>
      <w:r>
        <w:rPr>
          <w:rFonts w:hint="eastAsia" w:ascii="宋体" w:cs="宋体"/>
          <w:color w:val="000000"/>
          <w:kern w:val="0"/>
          <w:szCs w:val="21"/>
        </w:rPr>
        <w:t>不接收缺陷产品、不流出缺陷产品</w:t>
      </w:r>
      <w:r>
        <w:rPr>
          <w:rFonts w:ascii="宋体" w:cs="宋体"/>
          <w:color w:val="000000"/>
          <w:kern w:val="0"/>
          <w:szCs w:val="21"/>
        </w:rPr>
        <w:t xml:space="preserve">。 </w:t>
      </w:r>
    </w:p>
    <w:p w14:paraId="25C7E351">
      <w:pPr>
        <w:autoSpaceDE w:val="0"/>
        <w:autoSpaceDN w:val="0"/>
        <w:adjustRightInd w:val="0"/>
        <w:ind w:firstLine="420" w:firstLineChars="200"/>
        <w:jc w:val="left"/>
        <w:rPr>
          <w:rFonts w:ascii="宋体" w:cs="宋体"/>
          <w:color w:val="000000"/>
          <w:kern w:val="0"/>
          <w:szCs w:val="21"/>
        </w:rPr>
      </w:pPr>
      <w:r>
        <w:rPr>
          <w:rFonts w:ascii="宋体" w:cs="宋体"/>
          <w:color w:val="000000"/>
          <w:kern w:val="0"/>
          <w:szCs w:val="21"/>
        </w:rPr>
        <w:t>在产品营销中，公司致力于给</w:t>
      </w:r>
      <w:r>
        <w:rPr>
          <w:rFonts w:hint="eastAsia" w:ascii="宋体" w:cs="宋体"/>
          <w:color w:val="000000"/>
          <w:kern w:val="0"/>
          <w:szCs w:val="21"/>
        </w:rPr>
        <w:t>客户和</w:t>
      </w:r>
      <w:r>
        <w:rPr>
          <w:rFonts w:ascii="宋体" w:cs="宋体"/>
          <w:color w:val="000000"/>
          <w:kern w:val="0"/>
          <w:szCs w:val="21"/>
        </w:rPr>
        <w:t>消费者最适合的</w:t>
      </w:r>
      <w:r>
        <w:rPr>
          <w:rFonts w:hint="eastAsia" w:ascii="宋体" w:cs="宋体"/>
          <w:color w:val="000000"/>
          <w:kern w:val="0"/>
          <w:szCs w:val="21"/>
        </w:rPr>
        <w:t>产品</w:t>
      </w:r>
      <w:r>
        <w:rPr>
          <w:rFonts w:ascii="宋体" w:cs="宋体"/>
          <w:color w:val="000000"/>
          <w:kern w:val="0"/>
          <w:szCs w:val="21"/>
        </w:rPr>
        <w:t>，不会因为眼前的利益欺骗或变相欺骗消费者。对于</w:t>
      </w:r>
      <w:r>
        <w:rPr>
          <w:rFonts w:hint="eastAsia" w:ascii="宋体" w:cs="宋体"/>
          <w:color w:val="000000"/>
          <w:kern w:val="0"/>
          <w:szCs w:val="21"/>
        </w:rPr>
        <w:t>客户和</w:t>
      </w:r>
      <w:r>
        <w:rPr>
          <w:rFonts w:ascii="宋体" w:cs="宋体"/>
          <w:color w:val="000000"/>
          <w:kern w:val="0"/>
          <w:szCs w:val="21"/>
        </w:rPr>
        <w:t>消费者关于产品方面的疑问，公司积极回应，力求给</w:t>
      </w:r>
      <w:r>
        <w:rPr>
          <w:rFonts w:hint="eastAsia" w:ascii="宋体" w:cs="宋体"/>
          <w:color w:val="000000"/>
          <w:kern w:val="0"/>
          <w:szCs w:val="21"/>
        </w:rPr>
        <w:t>客户和</w:t>
      </w:r>
      <w:r>
        <w:rPr>
          <w:rFonts w:ascii="宋体" w:cs="宋体"/>
          <w:color w:val="000000"/>
          <w:kern w:val="0"/>
          <w:szCs w:val="21"/>
        </w:rPr>
        <w:t xml:space="preserve">消费者最好的答复。 </w:t>
      </w:r>
    </w:p>
    <w:p w14:paraId="6D117279">
      <w:pPr>
        <w:autoSpaceDE w:val="0"/>
        <w:autoSpaceDN w:val="0"/>
        <w:adjustRightInd w:val="0"/>
        <w:ind w:firstLine="420" w:firstLineChars="200"/>
        <w:jc w:val="left"/>
        <w:rPr>
          <w:rFonts w:ascii="宋体" w:cs="宋体"/>
          <w:color w:val="000000"/>
          <w:kern w:val="0"/>
          <w:szCs w:val="21"/>
        </w:rPr>
      </w:pPr>
      <w:r>
        <w:rPr>
          <w:rFonts w:ascii="宋体" w:cs="宋体"/>
          <w:color w:val="000000"/>
          <w:kern w:val="0"/>
          <w:szCs w:val="21"/>
        </w:rPr>
        <w:t>公司有完善的售后服务体系，努力给消费者提供全面周到的售后服务。在公司员工的概念里，产品卖出去的那一刻才是服务真正开始的时候。</w:t>
      </w:r>
    </w:p>
    <w:p w14:paraId="08839EB2">
      <w:pPr>
        <w:autoSpaceDE w:val="0"/>
        <w:autoSpaceDN w:val="0"/>
        <w:adjustRightInd w:val="0"/>
        <w:ind w:firstLine="420" w:firstLineChars="200"/>
        <w:jc w:val="left"/>
        <w:rPr>
          <w:rFonts w:ascii="宋体" w:cs="宋体"/>
          <w:color w:val="000000"/>
          <w:kern w:val="0"/>
          <w:szCs w:val="21"/>
        </w:rPr>
      </w:pPr>
      <w:r>
        <w:rPr>
          <w:rFonts w:ascii="宋体" w:cs="宋体"/>
          <w:color w:val="000000"/>
          <w:kern w:val="0"/>
          <w:szCs w:val="21"/>
        </w:rPr>
        <w:t>公司十分注重来自</w:t>
      </w:r>
      <w:r>
        <w:rPr>
          <w:rFonts w:hint="eastAsia" w:ascii="宋体" w:cs="宋体"/>
          <w:color w:val="000000"/>
          <w:kern w:val="0"/>
          <w:szCs w:val="21"/>
        </w:rPr>
        <w:t>客户和</w:t>
      </w:r>
      <w:r>
        <w:rPr>
          <w:rFonts w:ascii="宋体" w:cs="宋体"/>
          <w:color w:val="000000"/>
          <w:kern w:val="0"/>
          <w:szCs w:val="21"/>
        </w:rPr>
        <w:t>消费者的反馈信息，</w:t>
      </w:r>
      <w:r>
        <w:rPr>
          <w:rFonts w:hint="eastAsia" w:ascii="宋体" w:cs="宋体"/>
          <w:color w:val="000000"/>
          <w:kern w:val="0"/>
          <w:szCs w:val="21"/>
        </w:rPr>
        <w:t>由业务部负责</w:t>
      </w:r>
      <w:r>
        <w:rPr>
          <w:rFonts w:ascii="宋体" w:cs="宋体"/>
          <w:color w:val="000000"/>
          <w:kern w:val="0"/>
          <w:szCs w:val="21"/>
        </w:rPr>
        <w:t>收集记录</w:t>
      </w:r>
      <w:r>
        <w:rPr>
          <w:rFonts w:hint="eastAsia" w:ascii="宋体" w:cs="宋体"/>
          <w:color w:val="000000"/>
          <w:kern w:val="0"/>
          <w:szCs w:val="21"/>
        </w:rPr>
        <w:t>客户和</w:t>
      </w:r>
      <w:r>
        <w:rPr>
          <w:rFonts w:ascii="宋体" w:cs="宋体"/>
          <w:color w:val="000000"/>
          <w:kern w:val="0"/>
          <w:szCs w:val="21"/>
        </w:rPr>
        <w:t>消费者的意见和建议，并针对</w:t>
      </w:r>
      <w:r>
        <w:rPr>
          <w:rFonts w:hint="eastAsia" w:ascii="宋体" w:cs="宋体"/>
          <w:color w:val="000000"/>
          <w:kern w:val="0"/>
          <w:szCs w:val="21"/>
        </w:rPr>
        <w:t>客户和</w:t>
      </w:r>
      <w:r>
        <w:rPr>
          <w:rFonts w:ascii="宋体" w:cs="宋体"/>
          <w:color w:val="000000"/>
          <w:kern w:val="0"/>
          <w:szCs w:val="21"/>
        </w:rPr>
        <w:t>消费者在消费过程中遇到的问题积极配合，及时提供合理的解决方案。对于产品问题引起的退换货，公司在确认信息后积极配合解决，确保有效处理各种消费问题，尽可能降低问题产品对消费者的伤害。针对已知的问题，公司会分环节分车间严查漏洞，及时修正，努力消除产品的质量、安全隐患，为消费者提供更高质量的产品以及更完善的服务。</w:t>
      </w:r>
    </w:p>
    <w:p w14:paraId="161096E4">
      <w:pPr>
        <w:autoSpaceDE w:val="0"/>
        <w:autoSpaceDN w:val="0"/>
        <w:adjustRightInd w:val="0"/>
        <w:ind w:firstLine="420" w:firstLineChars="200"/>
        <w:jc w:val="left"/>
        <w:rPr>
          <w:rFonts w:ascii="宋体" w:cs="宋体"/>
          <w:color w:val="000000"/>
          <w:kern w:val="0"/>
          <w:szCs w:val="21"/>
        </w:rPr>
      </w:pPr>
      <w:r>
        <w:rPr>
          <w:rFonts w:hint="eastAsia" w:ascii="宋体" w:cs="宋体"/>
          <w:color w:val="000000"/>
          <w:kern w:val="0"/>
          <w:szCs w:val="21"/>
        </w:rPr>
        <w:t>公司定期实施顾客满意度调查。2019年实施的顾客满意度调查结果：98%， 达到了目标要求。</w:t>
      </w:r>
    </w:p>
    <w:p w14:paraId="4BE3D86B">
      <w:pPr>
        <w:autoSpaceDE w:val="0"/>
        <w:autoSpaceDN w:val="0"/>
        <w:adjustRightInd w:val="0"/>
        <w:ind w:firstLine="420" w:firstLineChars="200"/>
        <w:jc w:val="left"/>
        <w:rPr>
          <w:rFonts w:ascii="宋体" w:cs="宋体"/>
          <w:color w:val="000000"/>
          <w:kern w:val="0"/>
          <w:szCs w:val="21"/>
        </w:rPr>
      </w:pPr>
      <w:r>
        <w:rPr>
          <w:rFonts w:hint="eastAsia" w:ascii="宋体" w:cs="宋体"/>
          <w:color w:val="000000"/>
          <w:kern w:val="0"/>
          <w:szCs w:val="21"/>
        </w:rPr>
        <w:t xml:space="preserve"> </w:t>
      </w:r>
      <w:r>
        <w:rPr>
          <w:rFonts w:ascii="宋体" w:cs="宋体"/>
          <w:color w:val="000000"/>
          <w:kern w:val="0"/>
          <w:szCs w:val="21"/>
        </w:rPr>
        <w:t xml:space="preserve">     </w:t>
      </w:r>
    </w:p>
    <w:p w14:paraId="6E311068">
      <w:pPr>
        <w:autoSpaceDE w:val="0"/>
        <w:autoSpaceDN w:val="0"/>
        <w:adjustRightInd w:val="0"/>
        <w:ind w:firstLine="420" w:firstLineChars="200"/>
        <w:jc w:val="left"/>
        <w:rPr>
          <w:rFonts w:ascii="宋体" w:cs="宋体"/>
          <w:color w:val="000000"/>
          <w:kern w:val="0"/>
          <w:szCs w:val="21"/>
        </w:rPr>
      </w:pPr>
      <w:r>
        <w:rPr>
          <w:rFonts w:ascii="宋体" w:cs="宋体"/>
          <w:color w:val="000000"/>
          <w:kern w:val="0"/>
          <w:szCs w:val="21"/>
        </w:rPr>
        <w:t>公司建有完善的合同管理</w:t>
      </w:r>
      <w:r>
        <w:rPr>
          <w:rFonts w:hint="eastAsia" w:ascii="宋体" w:cs="宋体"/>
          <w:color w:val="000000"/>
          <w:kern w:val="0"/>
          <w:szCs w:val="21"/>
        </w:rPr>
        <w:t>的</w:t>
      </w:r>
      <w:r>
        <w:rPr>
          <w:rFonts w:ascii="宋体" w:cs="宋体"/>
          <w:color w:val="000000"/>
          <w:kern w:val="0"/>
          <w:szCs w:val="21"/>
        </w:rPr>
        <w:t>制度，合同签订充分考虑合作方权益，努力做到权责平衡，保证公平公正。公司切实履行商业合同以及对外订立的合同，除不可抗力和对方违约，以及经双方当事人协商变更、解除者外，合同基本都能</w:t>
      </w:r>
      <w:r>
        <w:rPr>
          <w:rFonts w:hint="eastAsia" w:ascii="宋体" w:cs="宋体"/>
          <w:color w:val="000000"/>
          <w:kern w:val="0"/>
          <w:szCs w:val="21"/>
        </w:rPr>
        <w:t>按</w:t>
      </w:r>
      <w:r>
        <w:rPr>
          <w:rFonts w:ascii="宋体" w:cs="宋体"/>
          <w:color w:val="000000"/>
          <w:kern w:val="0"/>
          <w:szCs w:val="21"/>
        </w:rPr>
        <w:t>约定执行。公司成立以来诚实守信的履约行为在行业中赢得了良好的口碑，近年来，更是有为数不少的企业为了寻求合作主动找到公司进行考察、洽谈。</w:t>
      </w:r>
    </w:p>
    <w:p w14:paraId="23AEBE35">
      <w:pPr>
        <w:widowControl/>
        <w:spacing w:line="219" w:lineRule="atLeast"/>
        <w:ind w:firstLine="480" w:firstLineChars="200"/>
        <w:jc w:val="left"/>
        <w:rPr>
          <w:rFonts w:hint="eastAsia" w:ascii="&amp;quot" w:hAnsi="&amp;quot" w:cs="宋体"/>
          <w:kern w:val="0"/>
          <w:sz w:val="24"/>
          <w:szCs w:val="24"/>
        </w:rPr>
      </w:pPr>
    </w:p>
    <w:p w14:paraId="644EDCC0">
      <w:pPr>
        <w:spacing w:before="156" w:beforeLines="50" w:after="156" w:afterLines="50"/>
        <w:outlineLvl w:val="1"/>
        <w:rPr>
          <w:rFonts w:hint="eastAsia" w:ascii="&amp;quot" w:hAnsi="&amp;quot" w:cs="宋体"/>
          <w:kern w:val="0"/>
          <w:sz w:val="24"/>
          <w:szCs w:val="24"/>
        </w:rPr>
      </w:pPr>
      <w:r>
        <w:rPr>
          <w:rFonts w:hint="eastAsia" w:ascii="&amp;quot" w:hAnsi="&amp;quot" w:cs="宋体"/>
          <w:kern w:val="0"/>
          <w:sz w:val="24"/>
          <w:szCs w:val="24"/>
        </w:rPr>
        <w:t>（2）反腐败</w:t>
      </w:r>
    </w:p>
    <w:p w14:paraId="0E2BD377">
      <w:pPr>
        <w:autoSpaceDE w:val="0"/>
        <w:autoSpaceDN w:val="0"/>
        <w:adjustRightInd w:val="0"/>
        <w:ind w:firstLine="420" w:firstLineChars="200"/>
        <w:jc w:val="left"/>
        <w:rPr>
          <w:rFonts w:ascii="宋体" w:cs="宋体"/>
          <w:color w:val="000000"/>
          <w:kern w:val="0"/>
          <w:szCs w:val="21"/>
        </w:rPr>
      </w:pPr>
      <w:r>
        <w:rPr>
          <w:rFonts w:ascii="宋体" w:cs="宋体"/>
          <w:color w:val="000000"/>
          <w:kern w:val="0"/>
          <w:szCs w:val="21"/>
        </w:rPr>
        <w:t xml:space="preserve">公司十分重视廉洁运营相关工作，在采购等敏感环节设专人监督，建立透明的操作模式，将工作内容曝光在众人目光之下，让企业员工积极参与进来，在认识到廉洁运营重要性的同时起到监督管理作用。 </w:t>
      </w:r>
    </w:p>
    <w:p w14:paraId="32D40879">
      <w:pPr>
        <w:autoSpaceDE w:val="0"/>
        <w:autoSpaceDN w:val="0"/>
        <w:adjustRightInd w:val="0"/>
        <w:ind w:firstLine="420" w:firstLineChars="200"/>
        <w:jc w:val="left"/>
        <w:rPr>
          <w:rFonts w:ascii="宋体" w:cs="宋体"/>
          <w:color w:val="000000"/>
          <w:kern w:val="0"/>
          <w:szCs w:val="21"/>
        </w:rPr>
      </w:pPr>
      <w:r>
        <w:rPr>
          <w:rFonts w:ascii="宋体" w:cs="宋体"/>
          <w:color w:val="000000"/>
          <w:kern w:val="0"/>
          <w:szCs w:val="21"/>
        </w:rPr>
        <w:t xml:space="preserve">公司将反腐败相关内容具体化，通过多种形式宣传反腐知识，提高员工反腐意识，从根源处杜绝腐败之风。具体举措有： </w:t>
      </w:r>
    </w:p>
    <w:p w14:paraId="2A414440">
      <w:pPr>
        <w:autoSpaceDE w:val="0"/>
        <w:autoSpaceDN w:val="0"/>
        <w:adjustRightInd w:val="0"/>
        <w:ind w:firstLine="420" w:firstLineChars="200"/>
        <w:jc w:val="left"/>
        <w:rPr>
          <w:rFonts w:ascii="宋体" w:cs="宋体"/>
          <w:color w:val="000000"/>
          <w:kern w:val="0"/>
          <w:szCs w:val="21"/>
        </w:rPr>
      </w:pPr>
      <w:r>
        <w:rPr>
          <w:rFonts w:ascii="宋体" w:cs="宋体"/>
          <w:color w:val="000000"/>
          <w:kern w:val="0"/>
          <w:szCs w:val="21"/>
        </w:rPr>
        <w:t>1、以机制促廉政。</w:t>
      </w:r>
      <w:r>
        <w:rPr>
          <w:rFonts w:hint="eastAsia" w:ascii="宋体" w:cs="宋体"/>
          <w:color w:val="000000"/>
          <w:kern w:val="0"/>
          <w:szCs w:val="21"/>
        </w:rPr>
        <w:t>党员和干部带头进行</w:t>
      </w:r>
      <w:r>
        <w:rPr>
          <w:rFonts w:ascii="宋体" w:cs="宋体"/>
          <w:color w:val="000000"/>
          <w:kern w:val="0"/>
          <w:szCs w:val="21"/>
        </w:rPr>
        <w:t>廉政建设，</w:t>
      </w:r>
      <w:r>
        <w:rPr>
          <w:rFonts w:hint="eastAsia" w:ascii="宋体" w:cs="宋体"/>
          <w:color w:val="000000"/>
          <w:kern w:val="0"/>
          <w:szCs w:val="21"/>
        </w:rPr>
        <w:t>并</w:t>
      </w:r>
      <w:r>
        <w:rPr>
          <w:rFonts w:ascii="宋体" w:cs="宋体"/>
          <w:color w:val="000000"/>
          <w:kern w:val="0"/>
          <w:szCs w:val="21"/>
        </w:rPr>
        <w:t>渗透到</w:t>
      </w:r>
      <w:r>
        <w:rPr>
          <w:rFonts w:hint="eastAsia" w:ascii="宋体" w:cs="宋体"/>
          <w:color w:val="000000"/>
          <w:kern w:val="0"/>
          <w:szCs w:val="21"/>
        </w:rPr>
        <w:t>各项基层管理活动和</w:t>
      </w:r>
      <w:r>
        <w:rPr>
          <w:rFonts w:ascii="宋体" w:cs="宋体"/>
          <w:color w:val="000000"/>
          <w:kern w:val="0"/>
          <w:szCs w:val="21"/>
        </w:rPr>
        <w:t xml:space="preserve">市场化运营等每个环节。落实职工知情权，扩大职工参与权，保证党风廉政建设扎扎实实取得实效； </w:t>
      </w:r>
    </w:p>
    <w:p w14:paraId="04030DC3">
      <w:pPr>
        <w:autoSpaceDE w:val="0"/>
        <w:autoSpaceDN w:val="0"/>
        <w:adjustRightInd w:val="0"/>
        <w:ind w:firstLine="420" w:firstLineChars="200"/>
        <w:jc w:val="left"/>
        <w:rPr>
          <w:rFonts w:ascii="宋体" w:cs="宋体"/>
          <w:color w:val="000000"/>
          <w:kern w:val="0"/>
          <w:szCs w:val="21"/>
        </w:rPr>
      </w:pPr>
      <w:r>
        <w:rPr>
          <w:rFonts w:ascii="宋体" w:cs="宋体"/>
          <w:color w:val="000000"/>
          <w:kern w:val="0"/>
          <w:szCs w:val="21"/>
        </w:rPr>
        <w:t xml:space="preserve">2、以活动强意识。深入开展“廉洁从业宣教”活动，包括学廉洁知识、听廉政报告、观看廉洁警示片、廉洁竞赛答题等内容，增强领导人员的大局意识、宗旨意识、法纪意识和监督意识； </w:t>
      </w:r>
    </w:p>
    <w:p w14:paraId="42E909A1">
      <w:pPr>
        <w:autoSpaceDE w:val="0"/>
        <w:autoSpaceDN w:val="0"/>
        <w:adjustRightInd w:val="0"/>
        <w:ind w:firstLine="420" w:firstLineChars="200"/>
        <w:jc w:val="left"/>
        <w:rPr>
          <w:rFonts w:ascii="宋体" w:cs="宋体"/>
          <w:color w:val="000000"/>
          <w:kern w:val="0"/>
          <w:szCs w:val="21"/>
        </w:rPr>
      </w:pPr>
      <w:r>
        <w:rPr>
          <w:rFonts w:ascii="宋体" w:cs="宋体"/>
          <w:color w:val="000000"/>
          <w:kern w:val="0"/>
          <w:szCs w:val="21"/>
        </w:rPr>
        <w:t xml:space="preserve">3、以岗位树正气。强化“一岗双责”意识，有针对性地展开岗位廉洁教育，建立完善动态、立体式防控措施，切实杜绝违规违纪问题发生，营造风清气正、勤廉服务的良好氛围。 </w:t>
      </w:r>
    </w:p>
    <w:p w14:paraId="0E48AD78">
      <w:pPr>
        <w:widowControl/>
        <w:spacing w:line="219" w:lineRule="atLeast"/>
        <w:ind w:firstLine="480"/>
        <w:jc w:val="left"/>
        <w:rPr>
          <w:rFonts w:hint="eastAsia" w:ascii="&amp;quot" w:hAnsi="&amp;quot" w:cs="宋体"/>
          <w:kern w:val="0"/>
          <w:sz w:val="24"/>
          <w:szCs w:val="24"/>
        </w:rPr>
      </w:pPr>
    </w:p>
    <w:p w14:paraId="7CA30E77">
      <w:pPr>
        <w:widowControl/>
        <w:spacing w:line="219" w:lineRule="atLeast"/>
        <w:jc w:val="left"/>
        <w:rPr>
          <w:rFonts w:hint="eastAsia" w:ascii="&amp;quot" w:hAnsi="&amp;quot" w:cs="宋体"/>
          <w:kern w:val="0"/>
          <w:sz w:val="24"/>
          <w:szCs w:val="24"/>
        </w:rPr>
      </w:pPr>
      <w:r>
        <w:rPr>
          <w:rFonts w:hint="eastAsia" w:ascii="&amp;quot" w:hAnsi="&amp;quot" w:cs="宋体"/>
          <w:kern w:val="0"/>
          <w:sz w:val="24"/>
          <w:szCs w:val="24"/>
        </w:rPr>
        <w:t>（3）在价值链中促进社会责任</w:t>
      </w:r>
    </w:p>
    <w:p w14:paraId="3D6AF81A">
      <w:pPr>
        <w:autoSpaceDE w:val="0"/>
        <w:autoSpaceDN w:val="0"/>
        <w:adjustRightInd w:val="0"/>
        <w:ind w:firstLine="420" w:firstLineChars="200"/>
        <w:jc w:val="left"/>
        <w:rPr>
          <w:rFonts w:ascii="宋体" w:cs="宋体"/>
          <w:color w:val="000000"/>
          <w:kern w:val="0"/>
          <w:szCs w:val="21"/>
        </w:rPr>
      </w:pPr>
      <w:r>
        <w:rPr>
          <w:rFonts w:hint="eastAsia" w:ascii="宋体" w:cs="宋体"/>
          <w:color w:val="000000"/>
          <w:kern w:val="0"/>
          <w:szCs w:val="21"/>
        </w:rPr>
        <w:t>公司严格履行供应商、经销商和服务合作伙伴选择评价的准则，公平考虑相关方在质量、环境和职业健康安全等方面绩效和管理水平，选择合适的相关方合作。对合作公司定期评估相关方的绩效表现，基于公平公正公开的原则，促进供应链的优化，提升整体价值链的绩效。</w:t>
      </w:r>
    </w:p>
    <w:p w14:paraId="6880572B">
      <w:pPr>
        <w:widowControl/>
        <w:spacing w:line="219" w:lineRule="atLeast"/>
        <w:jc w:val="left"/>
        <w:rPr>
          <w:rFonts w:hint="eastAsia" w:ascii="&amp;quot" w:hAnsi="&amp;quot" w:cs="宋体"/>
          <w:kern w:val="0"/>
          <w:sz w:val="24"/>
          <w:szCs w:val="24"/>
        </w:rPr>
      </w:pPr>
    </w:p>
    <w:p w14:paraId="07DF1A87">
      <w:pPr>
        <w:widowControl/>
        <w:spacing w:line="219" w:lineRule="atLeast"/>
        <w:jc w:val="left"/>
        <w:rPr>
          <w:rFonts w:hint="eastAsia" w:ascii="&amp;quot" w:hAnsi="&amp;quot" w:cs="宋体"/>
          <w:kern w:val="0"/>
          <w:sz w:val="24"/>
          <w:szCs w:val="24"/>
        </w:rPr>
      </w:pPr>
      <w:r>
        <w:rPr>
          <w:rFonts w:hint="eastAsia" w:ascii="&amp;quot" w:hAnsi="&amp;quot" w:cs="宋体"/>
          <w:kern w:val="0"/>
          <w:sz w:val="24"/>
          <w:szCs w:val="24"/>
        </w:rPr>
        <w:t>（4）产权保护</w:t>
      </w:r>
      <w:bookmarkStart w:id="4" w:name="_Toc451610895"/>
      <w:bookmarkStart w:id="5" w:name="_Toc451610988"/>
      <w:r>
        <w:rPr>
          <w:rFonts w:hint="eastAsia" w:ascii="&amp;quot" w:hAnsi="&amp;quot" w:cs="宋体"/>
          <w:kern w:val="0"/>
          <w:sz w:val="24"/>
          <w:szCs w:val="24"/>
        </w:rPr>
        <w:t xml:space="preserve"> </w:t>
      </w:r>
    </w:p>
    <w:p w14:paraId="4CB5DFCB">
      <w:pPr>
        <w:widowControl/>
        <w:spacing w:line="219" w:lineRule="atLeast"/>
        <w:ind w:firstLine="420" w:firstLineChars="200"/>
        <w:jc w:val="left"/>
        <w:rPr>
          <w:rFonts w:ascii="宋体" w:cs="宋体"/>
          <w:color w:val="000000"/>
          <w:kern w:val="0"/>
          <w:szCs w:val="21"/>
        </w:rPr>
      </w:pPr>
      <w:r>
        <w:rPr>
          <w:rFonts w:ascii="宋体" w:cs="宋体"/>
          <w:color w:val="000000"/>
          <w:kern w:val="0"/>
          <w:szCs w:val="21"/>
        </w:rPr>
        <w:t xml:space="preserve">公司坚决遵守知识产权相关法律法规，并建立了严格的知识产权管理制度。除了向内部员工普及产权知识外，公司还积极响应市场号召，通过座谈会等不同形式向消费者及公司合作伙伴宣传产权保护意识，通过自身积极影响推动市场产权保护进程。具体举措如： </w:t>
      </w:r>
    </w:p>
    <w:p w14:paraId="09543D8C">
      <w:pPr>
        <w:widowControl/>
        <w:spacing w:line="219" w:lineRule="atLeast"/>
        <w:ind w:firstLine="420" w:firstLineChars="200"/>
        <w:jc w:val="left"/>
        <w:rPr>
          <w:rFonts w:ascii="宋体" w:cs="宋体"/>
          <w:color w:val="000000"/>
          <w:kern w:val="0"/>
          <w:szCs w:val="21"/>
        </w:rPr>
      </w:pPr>
      <w:r>
        <w:rPr>
          <w:rFonts w:ascii="宋体" w:cs="宋体"/>
          <w:color w:val="000000"/>
          <w:kern w:val="0"/>
          <w:szCs w:val="21"/>
        </w:rPr>
        <w:t xml:space="preserve">1、增强产权保护意识。既尊重他人识产权，也注重对自己产权的保护，通过与国际社会的通力合作，赢得中国企业和企业家的荣誉与尊严； </w:t>
      </w:r>
    </w:p>
    <w:p w14:paraId="7F3146CB">
      <w:pPr>
        <w:widowControl/>
        <w:spacing w:line="219" w:lineRule="atLeast"/>
        <w:ind w:firstLine="420" w:firstLineChars="200"/>
        <w:jc w:val="left"/>
        <w:rPr>
          <w:rFonts w:ascii="宋体" w:cs="宋体"/>
          <w:color w:val="000000"/>
          <w:kern w:val="0"/>
          <w:szCs w:val="21"/>
        </w:rPr>
      </w:pPr>
      <w:r>
        <w:rPr>
          <w:rFonts w:ascii="宋体" w:cs="宋体"/>
          <w:color w:val="000000"/>
          <w:kern w:val="0"/>
          <w:szCs w:val="21"/>
        </w:rPr>
        <w:t xml:space="preserve">2、完善公司自主创新机制，积极开展自主创新活动。只有大力开发具有自主产权的关键技术和核心技术，拥有行业更多的自主知识产权，才能摆脱受制于人的弱者地位，才能有经济竞争力以及受人尊重的国际影响力； </w:t>
      </w:r>
    </w:p>
    <w:p w14:paraId="0EC19DAB">
      <w:pPr>
        <w:widowControl/>
        <w:spacing w:line="219" w:lineRule="atLeast"/>
        <w:ind w:firstLine="420" w:firstLineChars="200"/>
        <w:jc w:val="left"/>
        <w:rPr>
          <w:rFonts w:ascii="宋体" w:cs="宋体"/>
          <w:color w:val="000000"/>
          <w:kern w:val="0"/>
          <w:szCs w:val="21"/>
        </w:rPr>
      </w:pPr>
      <w:r>
        <w:rPr>
          <w:rFonts w:ascii="宋体" w:cs="宋体"/>
          <w:color w:val="000000"/>
          <w:kern w:val="0"/>
          <w:szCs w:val="21"/>
        </w:rPr>
        <w:t xml:space="preserve">3、在日常生产经营活动中，严格依法办事。不侵害他人的产权，不盗用他人的专利技术，不制造、不使用、不销售、不传播假冒产品，不盗用和仿造他人的商标、产品标识和外观设计； </w:t>
      </w:r>
    </w:p>
    <w:p w14:paraId="26CDC84A">
      <w:pPr>
        <w:widowControl/>
        <w:spacing w:line="219" w:lineRule="atLeast"/>
        <w:ind w:firstLine="420" w:firstLineChars="200"/>
        <w:jc w:val="left"/>
        <w:rPr>
          <w:rFonts w:ascii="宋体" w:cs="宋体"/>
          <w:color w:val="000000"/>
          <w:kern w:val="0"/>
          <w:szCs w:val="21"/>
        </w:rPr>
      </w:pPr>
      <w:r>
        <w:rPr>
          <w:rFonts w:ascii="宋体" w:cs="宋体"/>
          <w:color w:val="000000"/>
          <w:kern w:val="0"/>
          <w:szCs w:val="21"/>
        </w:rPr>
        <w:t xml:space="preserve">4、坚决与侵害他人产权的不法行为做斗争，积极举报涉及产权的违法行为，主动配合政府做好对产权违法行为的遏制、查处和打击工作； </w:t>
      </w:r>
    </w:p>
    <w:p w14:paraId="7759154D">
      <w:pPr>
        <w:widowControl/>
        <w:spacing w:line="219" w:lineRule="atLeast"/>
        <w:ind w:firstLine="420" w:firstLineChars="200"/>
        <w:jc w:val="left"/>
        <w:rPr>
          <w:rFonts w:ascii="宋体" w:cs="宋体"/>
          <w:color w:val="000000"/>
          <w:kern w:val="0"/>
          <w:szCs w:val="21"/>
        </w:rPr>
      </w:pPr>
      <w:r>
        <w:rPr>
          <w:rFonts w:ascii="宋体" w:cs="宋体"/>
          <w:color w:val="000000"/>
          <w:kern w:val="0"/>
          <w:szCs w:val="21"/>
        </w:rPr>
        <w:t>5、积极参与宣传保护产权的社会活动，与社会各界共同致力于产权事业的健康发展。认真履行与产权相关的社会责任，增强全社会产权保护意识，为切实推进我国产权保护事业的发展作出贡献。</w:t>
      </w:r>
    </w:p>
    <w:p w14:paraId="0DFD3C8F">
      <w:pPr>
        <w:widowControl/>
        <w:spacing w:line="219" w:lineRule="atLeast"/>
        <w:ind w:firstLine="480"/>
        <w:jc w:val="left"/>
        <w:rPr>
          <w:rFonts w:hint="eastAsia" w:ascii="&amp;quot" w:hAnsi="&amp;quot" w:cs="宋体"/>
          <w:kern w:val="0"/>
          <w:sz w:val="24"/>
          <w:szCs w:val="24"/>
        </w:rPr>
      </w:pPr>
    </w:p>
    <w:p w14:paraId="131FF29A">
      <w:pPr>
        <w:spacing w:before="156" w:beforeLines="50" w:after="156" w:afterLines="50"/>
        <w:outlineLvl w:val="1"/>
        <w:rPr>
          <w:rFonts w:ascii="宋体" w:cs="宋体"/>
          <w:b/>
          <w:sz w:val="23"/>
          <w:szCs w:val="23"/>
        </w:rPr>
      </w:pPr>
      <w:r>
        <w:rPr>
          <w:rFonts w:hint="eastAsia" w:ascii="宋体" w:cs="宋体"/>
          <w:b/>
          <w:sz w:val="23"/>
          <w:szCs w:val="23"/>
        </w:rPr>
        <w:t>（五） 社区参与和发展</w:t>
      </w:r>
    </w:p>
    <w:p w14:paraId="526D9F4C">
      <w:pPr>
        <w:spacing w:before="156" w:beforeLines="50" w:after="156" w:afterLines="50"/>
        <w:outlineLvl w:val="1"/>
        <w:rPr>
          <w:rFonts w:ascii="宋体" w:cs="宋体"/>
          <w:b/>
          <w:sz w:val="23"/>
          <w:szCs w:val="23"/>
        </w:rPr>
      </w:pPr>
      <w:r>
        <w:rPr>
          <w:rFonts w:hint="eastAsia" w:ascii="宋体" w:cs="宋体"/>
          <w:b/>
          <w:sz w:val="23"/>
          <w:szCs w:val="23"/>
        </w:rPr>
        <w:t>(1) 公益支持</w:t>
      </w:r>
    </w:p>
    <w:p w14:paraId="035548A6">
      <w:pPr>
        <w:ind w:firstLine="420" w:firstLineChars="200"/>
        <w:rPr>
          <w:rFonts w:ascii="宋体" w:cs="宋体"/>
          <w:color w:val="000000"/>
          <w:kern w:val="0"/>
          <w:szCs w:val="21"/>
        </w:rPr>
      </w:pPr>
      <w:r>
        <w:rPr>
          <w:rFonts w:hint="eastAsia" w:ascii="宋体" w:cs="宋体"/>
          <w:color w:val="000000"/>
          <w:kern w:val="0"/>
          <w:szCs w:val="21"/>
        </w:rPr>
        <w:t>表</w:t>
      </w:r>
      <w:r>
        <w:rPr>
          <w:rFonts w:ascii="宋体" w:cs="宋体"/>
          <w:color w:val="000000"/>
          <w:kern w:val="0"/>
          <w:szCs w:val="21"/>
        </w:rPr>
        <w:t>5</w:t>
      </w:r>
      <w:r>
        <w:rPr>
          <w:rFonts w:hint="eastAsia" w:ascii="宋体" w:cs="宋体"/>
          <w:color w:val="000000"/>
          <w:kern w:val="0"/>
          <w:szCs w:val="21"/>
        </w:rPr>
        <w:t>近三年公司公益捐款情况</w:t>
      </w:r>
    </w:p>
    <w:tbl>
      <w:tblPr>
        <w:tblStyle w:val="37"/>
        <w:tblpPr w:leftFromText="180" w:rightFromText="180" w:vertAnchor="text" w:horzAnchor="page" w:tblpX="1997" w:tblpY="284"/>
        <w:tblOverlap w:val="never"/>
        <w:tblW w:w="81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84"/>
        <w:gridCol w:w="3430"/>
        <w:gridCol w:w="2814"/>
      </w:tblGrid>
      <w:tr w14:paraId="056FA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188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3622526">
            <w:pPr>
              <w:spacing w:beforeLines="0" w:afterLines="0"/>
              <w:jc w:val="center"/>
              <w:rPr>
                <w:rFonts w:hint="default" w:ascii="宋体" w:hAnsi="宋体" w:cs="宋体"/>
                <w:sz w:val="22"/>
                <w:szCs w:val="22"/>
              </w:rPr>
            </w:pPr>
            <w:r>
              <w:rPr>
                <w:rFonts w:hint="default" w:ascii="宋体" w:hAnsi="宋体" w:cs="宋体"/>
                <w:sz w:val="22"/>
                <w:szCs w:val="22"/>
              </w:rPr>
              <w:t>时间</w:t>
            </w:r>
          </w:p>
        </w:tc>
        <w:tc>
          <w:tcPr>
            <w:tcW w:w="34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1F2C4C4">
            <w:pPr>
              <w:spacing w:beforeLines="0" w:afterLines="0"/>
              <w:jc w:val="center"/>
              <w:rPr>
                <w:rFonts w:hint="default" w:ascii="宋体" w:hAnsi="宋体" w:cs="宋体"/>
                <w:sz w:val="22"/>
                <w:szCs w:val="22"/>
              </w:rPr>
            </w:pPr>
            <w:r>
              <w:rPr>
                <w:rFonts w:hint="default" w:ascii="宋体" w:hAnsi="宋体" w:cs="宋体"/>
                <w:sz w:val="22"/>
                <w:szCs w:val="22"/>
              </w:rPr>
              <w:t>具体内容</w:t>
            </w:r>
          </w:p>
        </w:tc>
        <w:tc>
          <w:tcPr>
            <w:tcW w:w="281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E4365E1">
            <w:pPr>
              <w:spacing w:beforeLines="0" w:afterLines="0"/>
              <w:jc w:val="center"/>
              <w:rPr>
                <w:rFonts w:hint="default" w:ascii="宋体" w:hAnsi="宋体" w:cs="宋体"/>
                <w:sz w:val="22"/>
                <w:szCs w:val="22"/>
              </w:rPr>
            </w:pPr>
            <w:r>
              <w:rPr>
                <w:rFonts w:hint="default" w:ascii="宋体" w:hAnsi="宋体" w:cs="宋体"/>
                <w:sz w:val="22"/>
                <w:szCs w:val="22"/>
              </w:rPr>
              <w:t>捐助方式</w:t>
            </w:r>
          </w:p>
        </w:tc>
      </w:tr>
      <w:tr w14:paraId="1B0C3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188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2E4F4FA">
            <w:pPr>
              <w:spacing w:beforeLines="0" w:afterLines="0"/>
              <w:jc w:val="center"/>
              <w:rPr>
                <w:rFonts w:hint="default" w:ascii="宋体" w:hAnsi="宋体" w:cs="宋体"/>
                <w:sz w:val="22"/>
                <w:szCs w:val="22"/>
              </w:rPr>
            </w:pPr>
            <w:r>
              <w:rPr>
                <w:rFonts w:hint="eastAsia" w:ascii="宋体" w:hAnsi="宋体" w:cs="宋体"/>
                <w:sz w:val="22"/>
                <w:szCs w:val="22"/>
                <w:lang w:eastAsia="zh-CN"/>
              </w:rPr>
              <w:t>202</w:t>
            </w:r>
            <w:r>
              <w:rPr>
                <w:rFonts w:hint="eastAsia" w:ascii="宋体" w:hAnsi="宋体" w:cs="宋体"/>
                <w:sz w:val="22"/>
                <w:szCs w:val="22"/>
                <w:lang w:val="en-US" w:eastAsia="zh-CN"/>
              </w:rPr>
              <w:t>3</w:t>
            </w:r>
            <w:r>
              <w:rPr>
                <w:rFonts w:hint="default" w:ascii="宋体" w:hAnsi="宋体" w:cs="宋体"/>
                <w:sz w:val="22"/>
                <w:szCs w:val="22"/>
              </w:rPr>
              <w:t>.2.7</w:t>
            </w:r>
          </w:p>
        </w:tc>
        <w:tc>
          <w:tcPr>
            <w:tcW w:w="34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6E97D9F">
            <w:pPr>
              <w:spacing w:beforeLines="0" w:afterLines="0"/>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土耳其地震捐款</w:t>
            </w:r>
          </w:p>
        </w:tc>
        <w:tc>
          <w:tcPr>
            <w:tcW w:w="281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348DB4E">
            <w:pPr>
              <w:spacing w:beforeLines="0" w:afterLines="0"/>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3000元</w:t>
            </w:r>
          </w:p>
        </w:tc>
      </w:tr>
    </w:tbl>
    <w:p w14:paraId="22C22379"/>
    <w:p w14:paraId="0CA00D4C">
      <w:pPr>
        <w:rPr>
          <w:rFonts w:ascii="宋体" w:cs="宋体"/>
          <w:b/>
          <w:sz w:val="23"/>
          <w:szCs w:val="23"/>
        </w:rPr>
      </w:pPr>
    </w:p>
    <w:p w14:paraId="5E197293">
      <w:pPr>
        <w:rPr>
          <w:rFonts w:ascii="宋体" w:cs="宋体"/>
          <w:b/>
          <w:sz w:val="23"/>
          <w:szCs w:val="23"/>
        </w:rPr>
      </w:pPr>
      <w:r>
        <w:rPr>
          <w:rFonts w:hint="eastAsia" w:ascii="宋体" w:cs="宋体"/>
          <w:b/>
          <w:sz w:val="23"/>
          <w:szCs w:val="23"/>
        </w:rPr>
        <w:t>(2) 经济效益</w:t>
      </w:r>
    </w:p>
    <w:tbl>
      <w:tblPr>
        <w:tblStyle w:val="37"/>
        <w:tblW w:w="8075" w:type="dxa"/>
        <w:tblInd w:w="113" w:type="dxa"/>
        <w:tblLayout w:type="autofit"/>
        <w:tblCellMar>
          <w:top w:w="0" w:type="dxa"/>
          <w:left w:w="108" w:type="dxa"/>
          <w:bottom w:w="0" w:type="dxa"/>
          <w:right w:w="108" w:type="dxa"/>
        </w:tblCellMar>
      </w:tblPr>
      <w:tblGrid>
        <w:gridCol w:w="2009"/>
        <w:gridCol w:w="1814"/>
        <w:gridCol w:w="2268"/>
        <w:gridCol w:w="1984"/>
      </w:tblGrid>
      <w:tr w14:paraId="6A4EA310">
        <w:tblPrEx>
          <w:tblCellMar>
            <w:top w:w="0" w:type="dxa"/>
            <w:left w:w="108" w:type="dxa"/>
            <w:bottom w:w="0" w:type="dxa"/>
            <w:right w:w="108" w:type="dxa"/>
          </w:tblCellMar>
        </w:tblPrEx>
        <w:trPr>
          <w:trHeight w:val="280" w:hRule="atLeast"/>
        </w:trPr>
        <w:tc>
          <w:tcPr>
            <w:tcW w:w="2009" w:type="dxa"/>
            <w:vMerge w:val="restart"/>
            <w:tcBorders>
              <w:top w:val="single" w:color="4E6127" w:sz="4" w:space="0"/>
              <w:left w:val="single" w:color="4E6127" w:sz="4" w:space="0"/>
              <w:bottom w:val="single" w:color="4E6127" w:sz="4" w:space="0"/>
              <w:right w:val="single" w:color="4E6127" w:sz="4" w:space="0"/>
            </w:tcBorders>
            <w:shd w:val="clear" w:color="auto" w:fill="auto"/>
            <w:vAlign w:val="center"/>
          </w:tcPr>
          <w:p w14:paraId="7894CC8E">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指标名称</w:t>
            </w:r>
          </w:p>
        </w:tc>
        <w:tc>
          <w:tcPr>
            <w:tcW w:w="6066" w:type="dxa"/>
            <w:gridSpan w:val="3"/>
            <w:tcBorders>
              <w:top w:val="single" w:color="4E6127" w:sz="4" w:space="0"/>
              <w:left w:val="nil"/>
              <w:bottom w:val="single" w:color="4E6127" w:sz="4" w:space="0"/>
              <w:right w:val="single" w:color="4E6127" w:sz="4" w:space="0"/>
            </w:tcBorders>
            <w:shd w:val="clear" w:color="auto" w:fill="auto"/>
            <w:vAlign w:val="center"/>
          </w:tcPr>
          <w:p w14:paraId="666A9D17">
            <w:pPr>
              <w:widowControl/>
              <w:jc w:val="center"/>
              <w:rPr>
                <w:rFonts w:ascii="宋体" w:hAnsi="宋体" w:cs="宋体"/>
                <w:b/>
                <w:bCs/>
                <w:color w:val="000000"/>
                <w:kern w:val="0"/>
                <w:sz w:val="22"/>
                <w:highlight w:val="none"/>
              </w:rPr>
            </w:pPr>
            <w:r>
              <w:rPr>
                <w:rFonts w:hint="eastAsia" w:ascii="宋体" w:hAnsi="宋体" w:cs="宋体"/>
                <w:b/>
                <w:bCs/>
                <w:color w:val="000000"/>
                <w:kern w:val="0"/>
                <w:sz w:val="22"/>
                <w:highlight w:val="none"/>
              </w:rPr>
              <w:t>实绩</w:t>
            </w:r>
          </w:p>
        </w:tc>
      </w:tr>
      <w:tr w14:paraId="2695DCCD">
        <w:tblPrEx>
          <w:tblCellMar>
            <w:top w:w="0" w:type="dxa"/>
            <w:left w:w="108" w:type="dxa"/>
            <w:bottom w:w="0" w:type="dxa"/>
            <w:right w:w="108" w:type="dxa"/>
          </w:tblCellMar>
        </w:tblPrEx>
        <w:trPr>
          <w:trHeight w:val="540" w:hRule="atLeast"/>
        </w:trPr>
        <w:tc>
          <w:tcPr>
            <w:tcW w:w="2009" w:type="dxa"/>
            <w:vMerge w:val="continue"/>
            <w:tcBorders>
              <w:top w:val="single" w:color="4E6127" w:sz="4" w:space="0"/>
              <w:left w:val="single" w:color="4E6127" w:sz="4" w:space="0"/>
              <w:bottom w:val="single" w:color="4E6127" w:sz="4" w:space="0"/>
              <w:right w:val="single" w:color="4E6127" w:sz="4" w:space="0"/>
            </w:tcBorders>
            <w:vAlign w:val="center"/>
          </w:tcPr>
          <w:p w14:paraId="7C5C9CC8">
            <w:pPr>
              <w:widowControl/>
              <w:jc w:val="left"/>
              <w:rPr>
                <w:rFonts w:ascii="宋体" w:hAnsi="宋体" w:cs="宋体"/>
                <w:b/>
                <w:bCs/>
                <w:color w:val="000000"/>
                <w:kern w:val="0"/>
                <w:szCs w:val="21"/>
                <w:highlight w:val="none"/>
              </w:rPr>
            </w:pPr>
          </w:p>
        </w:tc>
        <w:tc>
          <w:tcPr>
            <w:tcW w:w="1814" w:type="dxa"/>
            <w:tcBorders>
              <w:top w:val="nil"/>
              <w:left w:val="nil"/>
              <w:bottom w:val="single" w:color="4E6127" w:sz="4" w:space="0"/>
              <w:right w:val="single" w:color="4E6127" w:sz="4" w:space="0"/>
            </w:tcBorders>
            <w:shd w:val="clear" w:color="auto" w:fill="auto"/>
            <w:vAlign w:val="center"/>
          </w:tcPr>
          <w:p w14:paraId="662A626B">
            <w:pPr>
              <w:widowControl/>
              <w:spacing w:line="219" w:lineRule="atLeast"/>
              <w:jc w:val="center"/>
              <w:rPr>
                <w:rFonts w:hint="default" w:ascii="Calibri" w:hAnsi="Calibri" w:eastAsia="宋体" w:cs="Arial"/>
                <w:color w:val="000000"/>
                <w:kern w:val="2"/>
                <w:sz w:val="21"/>
                <w:szCs w:val="21"/>
                <w:highlight w:val="none"/>
                <w:lang w:val="en-US" w:eastAsia="zh-CN" w:bidi="ar-SA"/>
              </w:rPr>
            </w:pPr>
            <w:r>
              <w:rPr>
                <w:rFonts w:hint="eastAsia"/>
                <w:color w:val="000000"/>
                <w:szCs w:val="21"/>
                <w:highlight w:val="none"/>
              </w:rPr>
              <w:t>20</w:t>
            </w:r>
            <w:r>
              <w:rPr>
                <w:rFonts w:hint="eastAsia"/>
                <w:color w:val="000000"/>
                <w:szCs w:val="21"/>
                <w:highlight w:val="none"/>
                <w:lang w:val="en-US" w:eastAsia="zh-CN"/>
              </w:rPr>
              <w:t>21</w:t>
            </w:r>
          </w:p>
        </w:tc>
        <w:tc>
          <w:tcPr>
            <w:tcW w:w="2268" w:type="dxa"/>
            <w:tcBorders>
              <w:top w:val="nil"/>
              <w:left w:val="nil"/>
              <w:bottom w:val="single" w:color="4E6127" w:sz="4" w:space="0"/>
              <w:right w:val="single" w:color="4E6127" w:sz="4" w:space="0"/>
            </w:tcBorders>
            <w:shd w:val="clear" w:color="auto" w:fill="auto"/>
            <w:vAlign w:val="center"/>
          </w:tcPr>
          <w:p w14:paraId="403DB87C">
            <w:pPr>
              <w:widowControl/>
              <w:spacing w:line="219" w:lineRule="atLeast"/>
              <w:jc w:val="center"/>
              <w:rPr>
                <w:rFonts w:hint="default" w:ascii="Calibri" w:hAnsi="Calibri" w:eastAsia="宋体" w:cs="Arial"/>
                <w:color w:val="000000"/>
                <w:kern w:val="2"/>
                <w:sz w:val="21"/>
                <w:szCs w:val="21"/>
                <w:highlight w:val="none"/>
                <w:lang w:val="en-US" w:eastAsia="zh-CN" w:bidi="ar-SA"/>
              </w:rPr>
            </w:pPr>
            <w:r>
              <w:rPr>
                <w:rFonts w:hint="eastAsia"/>
                <w:color w:val="000000"/>
                <w:szCs w:val="21"/>
                <w:highlight w:val="none"/>
              </w:rPr>
              <w:t>20</w:t>
            </w:r>
            <w:r>
              <w:rPr>
                <w:rFonts w:hint="eastAsia"/>
                <w:color w:val="000000"/>
                <w:szCs w:val="21"/>
                <w:highlight w:val="none"/>
                <w:lang w:val="en-US" w:eastAsia="zh-CN"/>
              </w:rPr>
              <w:t>22</w:t>
            </w:r>
          </w:p>
        </w:tc>
        <w:tc>
          <w:tcPr>
            <w:tcW w:w="1984" w:type="dxa"/>
            <w:tcBorders>
              <w:top w:val="nil"/>
              <w:left w:val="nil"/>
              <w:bottom w:val="single" w:color="4E6127" w:sz="4" w:space="0"/>
              <w:right w:val="single" w:color="4E6127" w:sz="4" w:space="0"/>
            </w:tcBorders>
            <w:shd w:val="clear" w:color="auto" w:fill="auto"/>
            <w:vAlign w:val="center"/>
          </w:tcPr>
          <w:p w14:paraId="2E03C160">
            <w:pPr>
              <w:widowControl/>
              <w:spacing w:line="219" w:lineRule="atLeast"/>
              <w:jc w:val="center"/>
              <w:rPr>
                <w:rFonts w:hint="default" w:eastAsia="宋体"/>
                <w:color w:val="000000"/>
                <w:szCs w:val="21"/>
                <w:highlight w:val="red"/>
                <w:lang w:val="en-US" w:eastAsia="zh-CN"/>
              </w:rPr>
            </w:pPr>
            <w:r>
              <w:rPr>
                <w:rFonts w:hint="default" w:eastAsia="宋体"/>
                <w:color w:val="000000"/>
                <w:szCs w:val="21"/>
                <w:highlight w:val="red"/>
                <w:lang w:val="en-US" w:eastAsia="zh-CN"/>
              </w:rPr>
              <w:t>202</w:t>
            </w:r>
            <w:r>
              <w:rPr>
                <w:rFonts w:hint="eastAsia"/>
                <w:color w:val="000000"/>
                <w:szCs w:val="21"/>
                <w:highlight w:val="red"/>
                <w:lang w:val="en-US" w:eastAsia="zh-CN"/>
              </w:rPr>
              <w:t>3</w:t>
            </w:r>
          </w:p>
        </w:tc>
      </w:tr>
      <w:tr w14:paraId="318FB161">
        <w:tblPrEx>
          <w:tblCellMar>
            <w:top w:w="0" w:type="dxa"/>
            <w:left w:w="108" w:type="dxa"/>
            <w:bottom w:w="0" w:type="dxa"/>
            <w:right w:w="108" w:type="dxa"/>
          </w:tblCellMar>
        </w:tblPrEx>
        <w:trPr>
          <w:trHeight w:val="650" w:hRule="atLeast"/>
        </w:trPr>
        <w:tc>
          <w:tcPr>
            <w:tcW w:w="2009" w:type="dxa"/>
            <w:tcBorders>
              <w:top w:val="nil"/>
              <w:left w:val="single" w:color="4E6127" w:sz="4" w:space="0"/>
              <w:bottom w:val="single" w:color="4E6127" w:sz="4" w:space="0"/>
              <w:right w:val="single" w:color="4E6127" w:sz="4" w:space="0"/>
            </w:tcBorders>
            <w:shd w:val="clear" w:color="auto" w:fill="auto"/>
            <w:vAlign w:val="center"/>
          </w:tcPr>
          <w:p w14:paraId="65D8B6A4">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销售收入（万元）</w:t>
            </w:r>
          </w:p>
        </w:tc>
        <w:tc>
          <w:tcPr>
            <w:tcW w:w="1814" w:type="dxa"/>
            <w:tcBorders>
              <w:top w:val="single" w:color="4E6127" w:sz="4" w:space="0"/>
              <w:left w:val="single" w:color="4E6127" w:sz="4" w:space="0"/>
              <w:bottom w:val="single" w:color="4E6127" w:sz="4" w:space="0"/>
              <w:right w:val="single" w:color="4E6127" w:sz="4" w:space="0"/>
            </w:tcBorders>
            <w:shd w:val="clear" w:color="auto" w:fill="auto"/>
            <w:vAlign w:val="top"/>
          </w:tcPr>
          <w:p w14:paraId="44B4B4D8">
            <w:pPr>
              <w:widowControl/>
              <w:spacing w:line="219" w:lineRule="atLeast"/>
              <w:jc w:val="center"/>
              <w:rPr>
                <w:rFonts w:hint="eastAsia" w:ascii="Calibri" w:hAnsi="Calibri" w:eastAsia="宋体" w:cs="Arial"/>
                <w:color w:val="000000"/>
                <w:kern w:val="2"/>
                <w:sz w:val="21"/>
                <w:szCs w:val="21"/>
                <w:highlight w:val="none"/>
                <w:lang w:val="en-US" w:eastAsia="zh-CN" w:bidi="ar-SA"/>
              </w:rPr>
            </w:pPr>
            <w:r>
              <w:rPr>
                <w:rFonts w:hint="eastAsia"/>
                <w:color w:val="000000"/>
                <w:szCs w:val="21"/>
                <w:highlight w:val="none"/>
                <w:lang w:val="en-US" w:eastAsia="zh-CN"/>
              </w:rPr>
              <w:t>3100</w:t>
            </w:r>
          </w:p>
        </w:tc>
        <w:tc>
          <w:tcPr>
            <w:tcW w:w="2268" w:type="dxa"/>
            <w:tcBorders>
              <w:top w:val="single" w:color="4E6127" w:sz="4" w:space="0"/>
              <w:left w:val="nil"/>
              <w:bottom w:val="single" w:color="4E6127" w:sz="4" w:space="0"/>
              <w:right w:val="single" w:color="4E6127" w:sz="4" w:space="0"/>
            </w:tcBorders>
            <w:shd w:val="clear" w:color="auto" w:fill="auto"/>
            <w:vAlign w:val="top"/>
          </w:tcPr>
          <w:p w14:paraId="744EDDFF">
            <w:pPr>
              <w:widowControl/>
              <w:spacing w:line="219" w:lineRule="atLeast"/>
              <w:jc w:val="center"/>
              <w:rPr>
                <w:rFonts w:hint="eastAsia" w:ascii="Calibri" w:hAnsi="Calibri" w:eastAsia="宋体" w:cs="Arial"/>
                <w:color w:val="000000"/>
                <w:kern w:val="2"/>
                <w:sz w:val="21"/>
                <w:szCs w:val="21"/>
                <w:highlight w:val="none"/>
                <w:lang w:val="en-US" w:eastAsia="zh-CN" w:bidi="ar-SA"/>
              </w:rPr>
            </w:pPr>
            <w:r>
              <w:rPr>
                <w:rFonts w:hint="eastAsia"/>
                <w:color w:val="000000"/>
                <w:szCs w:val="21"/>
                <w:highlight w:val="none"/>
                <w:lang w:val="en-US" w:eastAsia="zh-CN"/>
              </w:rPr>
              <w:t>2815</w:t>
            </w:r>
          </w:p>
        </w:tc>
        <w:tc>
          <w:tcPr>
            <w:tcW w:w="1984" w:type="dxa"/>
            <w:tcBorders>
              <w:top w:val="single" w:color="4E6127" w:sz="4" w:space="0"/>
              <w:left w:val="nil"/>
              <w:bottom w:val="single" w:color="4E6127" w:sz="4" w:space="0"/>
              <w:right w:val="single" w:color="4E6127" w:sz="4" w:space="0"/>
            </w:tcBorders>
            <w:shd w:val="clear" w:color="auto" w:fill="auto"/>
            <w:vAlign w:val="top"/>
          </w:tcPr>
          <w:p w14:paraId="1F457CBC">
            <w:pPr>
              <w:widowControl/>
              <w:spacing w:line="219" w:lineRule="atLeast"/>
              <w:jc w:val="center"/>
              <w:rPr>
                <w:rFonts w:hint="default" w:eastAsia="宋体"/>
                <w:color w:val="000000"/>
                <w:szCs w:val="21"/>
                <w:highlight w:val="red"/>
                <w:lang w:val="en-US" w:eastAsia="zh-CN"/>
              </w:rPr>
            </w:pPr>
            <w:r>
              <w:rPr>
                <w:rFonts w:hint="eastAsia"/>
                <w:color w:val="000000"/>
                <w:szCs w:val="21"/>
                <w:highlight w:val="red"/>
                <w:lang w:val="en-US" w:eastAsia="zh-CN"/>
              </w:rPr>
              <w:t>2615</w:t>
            </w:r>
          </w:p>
        </w:tc>
      </w:tr>
      <w:tr w14:paraId="76709607">
        <w:tblPrEx>
          <w:tblCellMar>
            <w:top w:w="0" w:type="dxa"/>
            <w:left w:w="108" w:type="dxa"/>
            <w:bottom w:w="0" w:type="dxa"/>
            <w:right w:w="108" w:type="dxa"/>
          </w:tblCellMar>
        </w:tblPrEx>
        <w:trPr>
          <w:trHeight w:val="650" w:hRule="atLeast"/>
        </w:trPr>
        <w:tc>
          <w:tcPr>
            <w:tcW w:w="2009" w:type="dxa"/>
            <w:tcBorders>
              <w:top w:val="nil"/>
              <w:left w:val="single" w:color="4E6127" w:sz="4" w:space="0"/>
              <w:bottom w:val="single" w:color="4E6127" w:sz="4" w:space="0"/>
              <w:right w:val="single" w:color="4E6127" w:sz="4" w:space="0"/>
            </w:tcBorders>
            <w:shd w:val="clear" w:color="auto" w:fill="auto"/>
            <w:vAlign w:val="center"/>
          </w:tcPr>
          <w:p w14:paraId="25B433C8">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利润总额（万元）</w:t>
            </w:r>
          </w:p>
        </w:tc>
        <w:tc>
          <w:tcPr>
            <w:tcW w:w="1814" w:type="dxa"/>
            <w:tcBorders>
              <w:top w:val="single" w:color="4E6127" w:sz="4" w:space="0"/>
              <w:left w:val="single" w:color="4E6127" w:sz="4" w:space="0"/>
              <w:bottom w:val="single" w:color="4E6127" w:sz="4" w:space="0"/>
              <w:right w:val="single" w:color="4E6127" w:sz="4" w:space="0"/>
            </w:tcBorders>
            <w:shd w:val="clear" w:color="auto" w:fill="auto"/>
            <w:vAlign w:val="top"/>
          </w:tcPr>
          <w:p w14:paraId="634F6DD1">
            <w:pPr>
              <w:widowControl/>
              <w:spacing w:line="219" w:lineRule="atLeast"/>
              <w:jc w:val="center"/>
              <w:rPr>
                <w:rFonts w:hint="default" w:ascii="Calibri" w:hAnsi="Calibri" w:eastAsia="宋体" w:cs="Arial"/>
                <w:color w:val="000000"/>
                <w:kern w:val="2"/>
                <w:sz w:val="21"/>
                <w:szCs w:val="21"/>
                <w:highlight w:val="none"/>
                <w:lang w:val="en-US" w:eastAsia="zh-CN" w:bidi="ar-SA"/>
              </w:rPr>
            </w:pPr>
            <w:r>
              <w:rPr>
                <w:rFonts w:hint="eastAsia"/>
                <w:color w:val="000000"/>
                <w:szCs w:val="21"/>
                <w:highlight w:val="none"/>
                <w:lang w:val="en-US" w:eastAsia="zh-CN"/>
              </w:rPr>
              <w:t>-126</w:t>
            </w:r>
          </w:p>
        </w:tc>
        <w:tc>
          <w:tcPr>
            <w:tcW w:w="2268" w:type="dxa"/>
            <w:tcBorders>
              <w:top w:val="single" w:color="4E6127" w:sz="4" w:space="0"/>
              <w:left w:val="nil"/>
              <w:bottom w:val="single" w:color="4E6127" w:sz="4" w:space="0"/>
              <w:right w:val="single" w:color="4E6127" w:sz="4" w:space="0"/>
            </w:tcBorders>
            <w:shd w:val="clear" w:color="auto" w:fill="auto"/>
            <w:vAlign w:val="top"/>
          </w:tcPr>
          <w:p w14:paraId="033BF241">
            <w:pPr>
              <w:widowControl/>
              <w:spacing w:line="219" w:lineRule="atLeast"/>
              <w:jc w:val="center"/>
              <w:rPr>
                <w:rFonts w:hint="eastAsia" w:ascii="Calibri" w:hAnsi="Calibri" w:eastAsia="宋体" w:cs="Arial"/>
                <w:color w:val="000000"/>
                <w:kern w:val="2"/>
                <w:sz w:val="21"/>
                <w:szCs w:val="21"/>
                <w:highlight w:val="none"/>
                <w:lang w:val="en-US" w:eastAsia="zh-CN" w:bidi="ar-SA"/>
              </w:rPr>
            </w:pPr>
            <w:r>
              <w:rPr>
                <w:rFonts w:hint="eastAsia"/>
                <w:color w:val="000000"/>
                <w:szCs w:val="21"/>
                <w:highlight w:val="none"/>
                <w:lang w:val="en-US" w:eastAsia="zh-CN"/>
              </w:rPr>
              <w:t>-203</w:t>
            </w:r>
          </w:p>
        </w:tc>
        <w:tc>
          <w:tcPr>
            <w:tcW w:w="1984" w:type="dxa"/>
            <w:tcBorders>
              <w:top w:val="single" w:color="4E6127" w:sz="4" w:space="0"/>
              <w:left w:val="nil"/>
              <w:bottom w:val="single" w:color="4E6127" w:sz="4" w:space="0"/>
              <w:right w:val="single" w:color="4E6127" w:sz="4" w:space="0"/>
            </w:tcBorders>
            <w:shd w:val="clear" w:color="auto" w:fill="auto"/>
            <w:vAlign w:val="top"/>
          </w:tcPr>
          <w:p w14:paraId="7E268267">
            <w:pPr>
              <w:widowControl/>
              <w:spacing w:line="219" w:lineRule="atLeast"/>
              <w:jc w:val="center"/>
              <w:rPr>
                <w:rFonts w:hint="default"/>
                <w:color w:val="000000"/>
                <w:szCs w:val="21"/>
                <w:highlight w:val="red"/>
                <w:lang w:val="en-US" w:eastAsia="zh-CN"/>
              </w:rPr>
            </w:pPr>
            <w:r>
              <w:rPr>
                <w:rFonts w:hint="eastAsia"/>
                <w:color w:val="000000"/>
                <w:szCs w:val="21"/>
                <w:highlight w:val="red"/>
                <w:lang w:val="en-US" w:eastAsia="zh-CN"/>
              </w:rPr>
              <w:t>-282</w:t>
            </w:r>
          </w:p>
        </w:tc>
      </w:tr>
      <w:tr w14:paraId="50ABD963">
        <w:tblPrEx>
          <w:tblCellMar>
            <w:top w:w="0" w:type="dxa"/>
            <w:left w:w="108" w:type="dxa"/>
            <w:bottom w:w="0" w:type="dxa"/>
            <w:right w:w="108" w:type="dxa"/>
          </w:tblCellMar>
        </w:tblPrEx>
        <w:trPr>
          <w:trHeight w:val="650" w:hRule="atLeast"/>
        </w:trPr>
        <w:tc>
          <w:tcPr>
            <w:tcW w:w="2009" w:type="dxa"/>
            <w:tcBorders>
              <w:top w:val="nil"/>
              <w:left w:val="single" w:color="4E6127" w:sz="4" w:space="0"/>
              <w:bottom w:val="single" w:color="4E6127" w:sz="4" w:space="0"/>
              <w:right w:val="single" w:color="4E6127" w:sz="4" w:space="0"/>
            </w:tcBorders>
            <w:shd w:val="clear" w:color="auto" w:fill="auto"/>
            <w:vAlign w:val="center"/>
          </w:tcPr>
          <w:p w14:paraId="17490410">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纳税（万元）</w:t>
            </w:r>
          </w:p>
        </w:tc>
        <w:tc>
          <w:tcPr>
            <w:tcW w:w="1814" w:type="dxa"/>
            <w:tcBorders>
              <w:top w:val="single" w:color="4E6127" w:sz="4" w:space="0"/>
              <w:left w:val="single" w:color="4E6127" w:sz="4" w:space="0"/>
              <w:bottom w:val="single" w:color="4E6127" w:sz="4" w:space="0"/>
              <w:right w:val="single" w:color="4E6127" w:sz="4" w:space="0"/>
            </w:tcBorders>
            <w:shd w:val="clear" w:color="auto" w:fill="auto"/>
            <w:vAlign w:val="top"/>
          </w:tcPr>
          <w:p w14:paraId="3D92A304">
            <w:pPr>
              <w:widowControl/>
              <w:spacing w:line="219" w:lineRule="atLeast"/>
              <w:jc w:val="center"/>
              <w:rPr>
                <w:rFonts w:hint="eastAsia" w:ascii="Calibri" w:hAnsi="Calibri" w:eastAsia="宋体" w:cs="Arial"/>
                <w:color w:val="000000"/>
                <w:kern w:val="2"/>
                <w:sz w:val="21"/>
                <w:szCs w:val="21"/>
                <w:highlight w:val="none"/>
                <w:lang w:val="en-US" w:eastAsia="zh-CN" w:bidi="ar-SA"/>
              </w:rPr>
            </w:pPr>
            <w:r>
              <w:rPr>
                <w:rFonts w:hint="eastAsia"/>
                <w:color w:val="000000"/>
                <w:szCs w:val="21"/>
                <w:highlight w:val="none"/>
                <w:lang w:val="en-US" w:eastAsia="zh-CN"/>
              </w:rPr>
              <w:t>25.77</w:t>
            </w:r>
          </w:p>
        </w:tc>
        <w:tc>
          <w:tcPr>
            <w:tcW w:w="2268" w:type="dxa"/>
            <w:tcBorders>
              <w:top w:val="single" w:color="4E6127" w:sz="4" w:space="0"/>
              <w:left w:val="nil"/>
              <w:bottom w:val="single" w:color="4E6127" w:sz="4" w:space="0"/>
              <w:right w:val="single" w:color="4E6127" w:sz="4" w:space="0"/>
            </w:tcBorders>
            <w:shd w:val="clear" w:color="auto" w:fill="auto"/>
            <w:vAlign w:val="top"/>
          </w:tcPr>
          <w:p w14:paraId="781415C6">
            <w:pPr>
              <w:widowControl/>
              <w:spacing w:line="219" w:lineRule="atLeast"/>
              <w:jc w:val="center"/>
              <w:rPr>
                <w:rFonts w:hint="eastAsia" w:ascii="Calibri" w:hAnsi="Calibri" w:eastAsia="宋体" w:cs="Arial"/>
                <w:color w:val="000000"/>
                <w:kern w:val="2"/>
                <w:sz w:val="21"/>
                <w:szCs w:val="21"/>
                <w:highlight w:val="none"/>
                <w:lang w:val="en-US" w:eastAsia="zh-CN" w:bidi="ar-SA"/>
              </w:rPr>
            </w:pPr>
            <w:r>
              <w:rPr>
                <w:rFonts w:hint="eastAsia"/>
                <w:color w:val="000000"/>
                <w:szCs w:val="21"/>
                <w:highlight w:val="none"/>
                <w:lang w:val="en-US" w:eastAsia="zh-CN"/>
              </w:rPr>
              <w:t>23</w:t>
            </w:r>
          </w:p>
        </w:tc>
        <w:tc>
          <w:tcPr>
            <w:tcW w:w="1984" w:type="dxa"/>
            <w:tcBorders>
              <w:top w:val="single" w:color="4E6127" w:sz="4" w:space="0"/>
              <w:left w:val="nil"/>
              <w:bottom w:val="single" w:color="4E6127" w:sz="4" w:space="0"/>
              <w:right w:val="single" w:color="4E6127" w:sz="4" w:space="0"/>
            </w:tcBorders>
            <w:shd w:val="clear" w:color="auto" w:fill="auto"/>
            <w:vAlign w:val="top"/>
          </w:tcPr>
          <w:p w14:paraId="151D0975">
            <w:pPr>
              <w:widowControl/>
              <w:spacing w:line="219" w:lineRule="atLeast"/>
              <w:jc w:val="center"/>
              <w:rPr>
                <w:rFonts w:hint="default" w:eastAsia="宋体"/>
                <w:color w:val="000000"/>
                <w:szCs w:val="21"/>
                <w:highlight w:val="red"/>
                <w:lang w:val="en-US" w:eastAsia="zh-CN"/>
              </w:rPr>
            </w:pPr>
            <w:r>
              <w:rPr>
                <w:rFonts w:hint="eastAsia"/>
                <w:color w:val="000000"/>
                <w:szCs w:val="21"/>
                <w:highlight w:val="red"/>
                <w:lang w:val="en-US" w:eastAsia="zh-CN"/>
              </w:rPr>
              <w:t>25</w:t>
            </w:r>
          </w:p>
        </w:tc>
      </w:tr>
    </w:tbl>
    <w:p w14:paraId="542FDB83">
      <w:pPr>
        <w:rPr>
          <w:rFonts w:ascii="宋体" w:cs="宋体"/>
          <w:b/>
          <w:sz w:val="23"/>
          <w:szCs w:val="23"/>
        </w:rPr>
      </w:pPr>
    </w:p>
    <w:p w14:paraId="3786F2B8">
      <w:pPr>
        <w:spacing w:before="156" w:beforeLines="50" w:after="156" w:afterLines="50"/>
        <w:outlineLvl w:val="1"/>
        <w:rPr>
          <w:rFonts w:ascii="宋体" w:cs="宋体"/>
          <w:b/>
          <w:sz w:val="23"/>
          <w:szCs w:val="23"/>
        </w:rPr>
      </w:pPr>
      <w:r>
        <w:rPr>
          <w:rFonts w:hint="eastAsia" w:ascii="宋体" w:cs="宋体"/>
          <w:b/>
          <w:sz w:val="23"/>
          <w:szCs w:val="23"/>
        </w:rPr>
        <w:t>(3) 技术开发</w:t>
      </w:r>
    </w:p>
    <w:p w14:paraId="05F48FB4">
      <w:pPr>
        <w:ind w:firstLine="420" w:firstLineChars="200"/>
        <w:rPr>
          <w:rFonts w:hint="eastAsia" w:ascii="宋体" w:hAnsi="宋体"/>
        </w:rPr>
      </w:pPr>
      <w:r>
        <w:rPr>
          <w:rFonts w:hint="eastAsia" w:ascii="宋体"/>
        </w:rPr>
        <w:t>公司已制定技术创新战略及实施计划，实施差异化技术创新，重点突破电源线插头有关产品技术。公司高层积极引进国内优秀行业团队，提高资金保障，已取得国内领先的技术优势</w:t>
      </w:r>
      <w:bookmarkEnd w:id="4"/>
      <w:bookmarkEnd w:id="5"/>
      <w:bookmarkStart w:id="6" w:name="_Toc451610993"/>
      <w:bookmarkStart w:id="7" w:name="_Toc451610900"/>
      <w:r>
        <w:rPr>
          <w:rFonts w:hint="eastAsia" w:ascii="宋体"/>
        </w:rPr>
        <w:t>。</w:t>
      </w:r>
      <w:r>
        <w:rPr>
          <w:rFonts w:hint="eastAsia" w:ascii="宋体" w:hAnsi="宋体"/>
        </w:rPr>
        <w:t>2017年公司率先在行业内建立博士工作站，2018年取得浙江省科学技术厅颁发的</w:t>
      </w:r>
      <w:r>
        <w:rPr>
          <w:rFonts w:hint="eastAsia" w:ascii="宋体" w:hAnsi="宋体"/>
          <w:szCs w:val="21"/>
        </w:rPr>
        <w:t>高新技术企业证书。公司</w:t>
      </w:r>
      <w:r>
        <w:rPr>
          <w:rFonts w:hint="eastAsia" w:ascii="宋体" w:hAnsi="宋体"/>
        </w:rPr>
        <w:t>已取得国内领先的技术优势，下表列出的近三年公司取得的专利成果。</w:t>
      </w:r>
      <w:bookmarkStart w:id="8" w:name="_Hlk24123839"/>
    </w:p>
    <w:tbl>
      <w:tblPr>
        <w:tblStyle w:val="37"/>
        <w:tblW w:w="8858" w:type="dxa"/>
        <w:tblInd w:w="78" w:type="dxa"/>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
      <w:tblGrid>
        <w:gridCol w:w="711"/>
        <w:gridCol w:w="5231"/>
        <w:gridCol w:w="1415"/>
        <w:gridCol w:w="1501"/>
      </w:tblGrid>
      <w:tr w14:paraId="68505CB2">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711" w:type="dxa"/>
            <w:tcBorders>
              <w:tl2br w:val="nil"/>
              <w:tr2bl w:val="nil"/>
            </w:tcBorders>
            <w:shd w:val="solid" w:color="33CCCC" w:fill="auto"/>
            <w:noWrap w:val="0"/>
            <w:vAlign w:val="top"/>
          </w:tcPr>
          <w:p w14:paraId="1BC12779">
            <w:pPr>
              <w:keepNext w:val="0"/>
              <w:keepLines w:val="0"/>
              <w:suppressLineNumbers w:val="0"/>
              <w:spacing w:before="0" w:beforeLines="0" w:beforeAutospacing="0" w:after="0" w:afterLines="0" w:afterAutospacing="0"/>
              <w:ind w:left="0" w:right="0"/>
              <w:jc w:val="center"/>
              <w:rPr>
                <w:rFonts w:hint="default" w:ascii="Î¢ÈíÑÅºÚ" w:hAnsi="Î¢ÈíÑÅºÚ" w:eastAsia="Î¢ÈíÑÅºÚ" w:cs="Times New Roman"/>
                <w:b/>
                <w:color w:val="FFFFFF"/>
                <w:sz w:val="22"/>
                <w:szCs w:val="24"/>
              </w:rPr>
            </w:pPr>
            <w:r>
              <w:rPr>
                <w:rFonts w:hint="default" w:ascii="Î¢ÈíÑÅºÚ" w:hAnsi="Î¢ÈíÑÅºÚ" w:eastAsia="Î¢ÈíÑÅºÚ" w:cs="Times New Roman"/>
                <w:b/>
                <w:color w:val="FFFFFF"/>
                <w:sz w:val="22"/>
                <w:szCs w:val="24"/>
              </w:rPr>
              <w:t>序号</w:t>
            </w:r>
          </w:p>
        </w:tc>
        <w:tc>
          <w:tcPr>
            <w:tcW w:w="5231" w:type="dxa"/>
            <w:tcBorders>
              <w:tl2br w:val="nil"/>
              <w:tr2bl w:val="nil"/>
            </w:tcBorders>
            <w:shd w:val="solid" w:color="33CCCC" w:fill="auto"/>
            <w:noWrap w:val="0"/>
            <w:vAlign w:val="top"/>
          </w:tcPr>
          <w:p w14:paraId="0F0106C6">
            <w:pPr>
              <w:keepNext w:val="0"/>
              <w:keepLines w:val="0"/>
              <w:suppressLineNumbers w:val="0"/>
              <w:spacing w:before="0" w:beforeLines="0" w:beforeAutospacing="0" w:after="0" w:afterLines="0" w:afterAutospacing="0"/>
              <w:ind w:left="0" w:right="0"/>
              <w:jc w:val="center"/>
              <w:rPr>
                <w:rFonts w:hint="default" w:ascii="Î¢ÈíÑÅºÚ" w:hAnsi="Î¢ÈíÑÅºÚ" w:eastAsia="Î¢ÈíÑÅºÚ" w:cs="Times New Roman"/>
                <w:b/>
                <w:color w:val="FFFFFF"/>
                <w:sz w:val="22"/>
                <w:szCs w:val="24"/>
              </w:rPr>
            </w:pPr>
            <w:r>
              <w:rPr>
                <w:rFonts w:hint="default" w:ascii="Î¢ÈíÑÅºÚ" w:hAnsi="Î¢ÈíÑÅºÚ" w:eastAsia="Î¢ÈíÑÅºÚ" w:cs="Times New Roman"/>
                <w:b/>
                <w:color w:val="FFFFFF"/>
                <w:sz w:val="22"/>
                <w:szCs w:val="24"/>
              </w:rPr>
              <w:t>发明名称</w:t>
            </w:r>
          </w:p>
        </w:tc>
        <w:tc>
          <w:tcPr>
            <w:tcW w:w="1415" w:type="dxa"/>
            <w:tcBorders>
              <w:tl2br w:val="nil"/>
              <w:tr2bl w:val="nil"/>
            </w:tcBorders>
            <w:shd w:val="solid" w:color="33CCCC" w:fill="auto"/>
            <w:noWrap w:val="0"/>
            <w:vAlign w:val="top"/>
          </w:tcPr>
          <w:p w14:paraId="61B5A3D4">
            <w:pPr>
              <w:keepNext w:val="0"/>
              <w:keepLines w:val="0"/>
              <w:suppressLineNumbers w:val="0"/>
              <w:spacing w:before="0" w:beforeLines="0" w:beforeAutospacing="0" w:after="0" w:afterLines="0" w:afterAutospacing="0"/>
              <w:ind w:left="0" w:right="0"/>
              <w:jc w:val="center"/>
              <w:rPr>
                <w:rFonts w:hint="default" w:ascii="Î¢ÈíÑÅºÚ" w:hAnsi="Î¢ÈíÑÅºÚ" w:eastAsia="Î¢ÈíÑÅºÚ" w:cs="Times New Roman"/>
                <w:b/>
                <w:color w:val="FFFFFF"/>
                <w:sz w:val="22"/>
                <w:szCs w:val="24"/>
              </w:rPr>
            </w:pPr>
            <w:r>
              <w:rPr>
                <w:rFonts w:hint="default" w:ascii="Î¢ÈíÑÅºÚ" w:hAnsi="Î¢ÈíÑÅºÚ" w:eastAsia="Î¢ÈíÑÅºÚ" w:cs="Times New Roman"/>
                <w:b/>
                <w:color w:val="FFFFFF"/>
                <w:sz w:val="22"/>
                <w:szCs w:val="24"/>
              </w:rPr>
              <w:t>专利类型</w:t>
            </w:r>
          </w:p>
        </w:tc>
        <w:tc>
          <w:tcPr>
            <w:tcW w:w="1501" w:type="dxa"/>
            <w:tcBorders>
              <w:tl2br w:val="nil"/>
              <w:tr2bl w:val="nil"/>
            </w:tcBorders>
            <w:shd w:val="solid" w:color="33CCCC" w:fill="auto"/>
            <w:noWrap w:val="0"/>
            <w:vAlign w:val="top"/>
          </w:tcPr>
          <w:p w14:paraId="06BA3215">
            <w:pPr>
              <w:keepNext w:val="0"/>
              <w:keepLines w:val="0"/>
              <w:suppressLineNumbers w:val="0"/>
              <w:spacing w:before="0" w:beforeLines="0" w:beforeAutospacing="0" w:after="0" w:afterLines="0" w:afterAutospacing="0"/>
              <w:ind w:left="0" w:right="0"/>
              <w:jc w:val="center"/>
              <w:rPr>
                <w:rFonts w:hint="default" w:ascii="Î¢ÈíÑÅºÚ" w:hAnsi="Î¢ÈíÑÅºÚ" w:eastAsia="Î¢ÈíÑÅºÚ" w:cs="Times New Roman"/>
                <w:b/>
                <w:color w:val="FFFFFF"/>
                <w:sz w:val="22"/>
                <w:szCs w:val="24"/>
              </w:rPr>
            </w:pPr>
            <w:r>
              <w:rPr>
                <w:rFonts w:hint="default" w:ascii="Î¢ÈíÑÅºÚ" w:hAnsi="Î¢ÈíÑÅºÚ" w:eastAsia="Î¢ÈíÑÅºÚ" w:cs="Times New Roman"/>
                <w:b/>
                <w:color w:val="FFFFFF"/>
                <w:sz w:val="22"/>
                <w:szCs w:val="24"/>
              </w:rPr>
              <w:t>申请日</w:t>
            </w:r>
          </w:p>
        </w:tc>
      </w:tr>
      <w:tr w14:paraId="4AD2703E">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711" w:type="dxa"/>
            <w:tcBorders>
              <w:tl2br w:val="nil"/>
              <w:tr2bl w:val="nil"/>
            </w:tcBorders>
            <w:noWrap w:val="0"/>
            <w:vAlign w:val="top"/>
          </w:tcPr>
          <w:p w14:paraId="68218C11">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1</w:t>
            </w:r>
          </w:p>
        </w:tc>
        <w:tc>
          <w:tcPr>
            <w:tcW w:w="5231" w:type="dxa"/>
            <w:tcBorders>
              <w:tl2br w:val="nil"/>
              <w:tr2bl w:val="nil"/>
            </w:tcBorders>
            <w:noWrap w:val="0"/>
            <w:vAlign w:val="top"/>
          </w:tcPr>
          <w:p w14:paraId="28A303BC">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一种易加工组合电源线</w:t>
            </w:r>
          </w:p>
        </w:tc>
        <w:tc>
          <w:tcPr>
            <w:tcW w:w="1415" w:type="dxa"/>
            <w:tcBorders>
              <w:tl2br w:val="nil"/>
              <w:tr2bl w:val="nil"/>
            </w:tcBorders>
            <w:noWrap w:val="0"/>
            <w:vAlign w:val="top"/>
          </w:tcPr>
          <w:p w14:paraId="24F39725">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发明授权</w:t>
            </w:r>
          </w:p>
        </w:tc>
        <w:tc>
          <w:tcPr>
            <w:tcW w:w="1501" w:type="dxa"/>
            <w:tcBorders>
              <w:tl2br w:val="nil"/>
              <w:tr2bl w:val="nil"/>
            </w:tcBorders>
            <w:noWrap w:val="0"/>
            <w:vAlign w:val="top"/>
          </w:tcPr>
          <w:p w14:paraId="2B35779D">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2023-11-03</w:t>
            </w:r>
          </w:p>
        </w:tc>
      </w:tr>
      <w:tr w14:paraId="5FEB7CD2">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711" w:type="dxa"/>
            <w:tcBorders>
              <w:tl2br w:val="nil"/>
              <w:tr2bl w:val="nil"/>
            </w:tcBorders>
            <w:noWrap w:val="0"/>
            <w:vAlign w:val="top"/>
          </w:tcPr>
          <w:p w14:paraId="1593BC7E">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2</w:t>
            </w:r>
          </w:p>
        </w:tc>
        <w:tc>
          <w:tcPr>
            <w:tcW w:w="5231" w:type="dxa"/>
            <w:tcBorders>
              <w:tl2br w:val="nil"/>
              <w:tr2bl w:val="nil"/>
            </w:tcBorders>
            <w:noWrap w:val="0"/>
            <w:vAlign w:val="top"/>
          </w:tcPr>
          <w:p w14:paraId="4BAA93BE">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一种插排塑料外壳注塑装置</w:t>
            </w:r>
          </w:p>
        </w:tc>
        <w:tc>
          <w:tcPr>
            <w:tcW w:w="1415" w:type="dxa"/>
            <w:tcBorders>
              <w:tl2br w:val="nil"/>
              <w:tr2bl w:val="nil"/>
            </w:tcBorders>
            <w:noWrap w:val="0"/>
            <w:vAlign w:val="top"/>
          </w:tcPr>
          <w:p w14:paraId="6E614514">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实用新型</w:t>
            </w:r>
          </w:p>
        </w:tc>
        <w:tc>
          <w:tcPr>
            <w:tcW w:w="1501" w:type="dxa"/>
            <w:tcBorders>
              <w:tl2br w:val="nil"/>
              <w:tr2bl w:val="nil"/>
            </w:tcBorders>
            <w:noWrap w:val="0"/>
            <w:vAlign w:val="top"/>
          </w:tcPr>
          <w:p w14:paraId="2E1414A4">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2023-05-16</w:t>
            </w:r>
          </w:p>
        </w:tc>
      </w:tr>
      <w:tr w14:paraId="77E16F18">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711" w:type="dxa"/>
            <w:tcBorders>
              <w:tl2br w:val="nil"/>
              <w:tr2bl w:val="nil"/>
            </w:tcBorders>
            <w:noWrap w:val="0"/>
            <w:vAlign w:val="top"/>
          </w:tcPr>
          <w:p w14:paraId="2250ADC3">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3</w:t>
            </w:r>
          </w:p>
        </w:tc>
        <w:tc>
          <w:tcPr>
            <w:tcW w:w="5231" w:type="dxa"/>
            <w:tcBorders>
              <w:tl2br w:val="nil"/>
              <w:tr2bl w:val="nil"/>
            </w:tcBorders>
            <w:noWrap w:val="0"/>
            <w:vAlign w:val="top"/>
          </w:tcPr>
          <w:p w14:paraId="2267D0D3">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一种汽车线缆生产用成型模具</w:t>
            </w:r>
          </w:p>
        </w:tc>
        <w:tc>
          <w:tcPr>
            <w:tcW w:w="1415" w:type="dxa"/>
            <w:tcBorders>
              <w:tl2br w:val="nil"/>
              <w:tr2bl w:val="nil"/>
            </w:tcBorders>
            <w:noWrap w:val="0"/>
            <w:vAlign w:val="top"/>
          </w:tcPr>
          <w:p w14:paraId="439F21C6">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实用新型</w:t>
            </w:r>
          </w:p>
        </w:tc>
        <w:tc>
          <w:tcPr>
            <w:tcW w:w="1501" w:type="dxa"/>
            <w:tcBorders>
              <w:tl2br w:val="nil"/>
              <w:tr2bl w:val="nil"/>
            </w:tcBorders>
            <w:noWrap w:val="0"/>
            <w:vAlign w:val="top"/>
          </w:tcPr>
          <w:p w14:paraId="143D765B">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2022-08-10</w:t>
            </w:r>
          </w:p>
        </w:tc>
      </w:tr>
      <w:tr w14:paraId="669FA7EE">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711" w:type="dxa"/>
            <w:tcBorders>
              <w:tl2br w:val="nil"/>
              <w:tr2bl w:val="nil"/>
            </w:tcBorders>
            <w:noWrap w:val="0"/>
            <w:vAlign w:val="top"/>
          </w:tcPr>
          <w:p w14:paraId="72D4E07A">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4</w:t>
            </w:r>
          </w:p>
        </w:tc>
        <w:tc>
          <w:tcPr>
            <w:tcW w:w="5231" w:type="dxa"/>
            <w:tcBorders>
              <w:tl2br w:val="nil"/>
              <w:tr2bl w:val="nil"/>
            </w:tcBorders>
            <w:noWrap w:val="0"/>
            <w:vAlign w:val="top"/>
          </w:tcPr>
          <w:p w14:paraId="615BCE1F">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一种新能源汽车充电用线缆</w:t>
            </w:r>
          </w:p>
        </w:tc>
        <w:tc>
          <w:tcPr>
            <w:tcW w:w="1415" w:type="dxa"/>
            <w:tcBorders>
              <w:tl2br w:val="nil"/>
              <w:tr2bl w:val="nil"/>
            </w:tcBorders>
            <w:noWrap w:val="0"/>
            <w:vAlign w:val="top"/>
          </w:tcPr>
          <w:p w14:paraId="744D6D53">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实用新型</w:t>
            </w:r>
          </w:p>
        </w:tc>
        <w:tc>
          <w:tcPr>
            <w:tcW w:w="1501" w:type="dxa"/>
            <w:tcBorders>
              <w:tl2br w:val="nil"/>
              <w:tr2bl w:val="nil"/>
            </w:tcBorders>
            <w:noWrap w:val="0"/>
            <w:vAlign w:val="top"/>
          </w:tcPr>
          <w:p w14:paraId="1DABB26F">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2022-08-01</w:t>
            </w:r>
          </w:p>
        </w:tc>
      </w:tr>
      <w:tr w14:paraId="23A73930">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711" w:type="dxa"/>
            <w:tcBorders>
              <w:tl2br w:val="nil"/>
              <w:tr2bl w:val="nil"/>
            </w:tcBorders>
            <w:noWrap w:val="0"/>
            <w:vAlign w:val="top"/>
          </w:tcPr>
          <w:p w14:paraId="0FC3F9DD">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5</w:t>
            </w:r>
          </w:p>
        </w:tc>
        <w:tc>
          <w:tcPr>
            <w:tcW w:w="5231" w:type="dxa"/>
            <w:tcBorders>
              <w:tl2br w:val="nil"/>
              <w:tr2bl w:val="nil"/>
            </w:tcBorders>
            <w:noWrap w:val="0"/>
            <w:vAlign w:val="top"/>
          </w:tcPr>
          <w:p w14:paraId="7D5DE078">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一种橡胶线束管</w:t>
            </w:r>
          </w:p>
        </w:tc>
        <w:tc>
          <w:tcPr>
            <w:tcW w:w="1415" w:type="dxa"/>
            <w:tcBorders>
              <w:tl2br w:val="nil"/>
              <w:tr2bl w:val="nil"/>
            </w:tcBorders>
            <w:noWrap w:val="0"/>
            <w:vAlign w:val="top"/>
          </w:tcPr>
          <w:p w14:paraId="1EB46807">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实用新型</w:t>
            </w:r>
          </w:p>
        </w:tc>
        <w:tc>
          <w:tcPr>
            <w:tcW w:w="1501" w:type="dxa"/>
            <w:tcBorders>
              <w:tl2br w:val="nil"/>
              <w:tr2bl w:val="nil"/>
            </w:tcBorders>
            <w:noWrap w:val="0"/>
            <w:vAlign w:val="top"/>
          </w:tcPr>
          <w:p w14:paraId="39B24415">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2022-08-01</w:t>
            </w:r>
          </w:p>
        </w:tc>
      </w:tr>
      <w:tr w14:paraId="6268A004">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711" w:type="dxa"/>
            <w:tcBorders>
              <w:tl2br w:val="nil"/>
              <w:tr2bl w:val="nil"/>
            </w:tcBorders>
            <w:noWrap w:val="0"/>
            <w:vAlign w:val="top"/>
          </w:tcPr>
          <w:p w14:paraId="2D77E893">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6</w:t>
            </w:r>
          </w:p>
        </w:tc>
        <w:tc>
          <w:tcPr>
            <w:tcW w:w="5231" w:type="dxa"/>
            <w:tcBorders>
              <w:tl2br w:val="nil"/>
              <w:tr2bl w:val="nil"/>
            </w:tcBorders>
            <w:noWrap w:val="0"/>
            <w:vAlign w:val="top"/>
          </w:tcPr>
          <w:p w14:paraId="5B61941F">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一种具有除酸雾功能的五金件加工酸洗池</w:t>
            </w:r>
          </w:p>
        </w:tc>
        <w:tc>
          <w:tcPr>
            <w:tcW w:w="1415" w:type="dxa"/>
            <w:tcBorders>
              <w:tl2br w:val="nil"/>
              <w:tr2bl w:val="nil"/>
            </w:tcBorders>
            <w:noWrap w:val="0"/>
            <w:vAlign w:val="top"/>
          </w:tcPr>
          <w:p w14:paraId="28CCF3E3">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实用新型</w:t>
            </w:r>
          </w:p>
        </w:tc>
        <w:tc>
          <w:tcPr>
            <w:tcW w:w="1501" w:type="dxa"/>
            <w:tcBorders>
              <w:tl2br w:val="nil"/>
              <w:tr2bl w:val="nil"/>
            </w:tcBorders>
            <w:noWrap w:val="0"/>
            <w:vAlign w:val="top"/>
          </w:tcPr>
          <w:p w14:paraId="75A2446C">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2022-02-24</w:t>
            </w:r>
          </w:p>
        </w:tc>
      </w:tr>
      <w:tr w14:paraId="5C753E29">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711" w:type="dxa"/>
            <w:tcBorders>
              <w:tl2br w:val="nil"/>
              <w:tr2bl w:val="nil"/>
            </w:tcBorders>
            <w:noWrap w:val="0"/>
            <w:vAlign w:val="top"/>
          </w:tcPr>
          <w:p w14:paraId="45D94980">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7</w:t>
            </w:r>
          </w:p>
        </w:tc>
        <w:tc>
          <w:tcPr>
            <w:tcW w:w="5231" w:type="dxa"/>
            <w:tcBorders>
              <w:tl2br w:val="nil"/>
              <w:tr2bl w:val="nil"/>
            </w:tcBorders>
            <w:noWrap w:val="0"/>
            <w:vAlign w:val="top"/>
          </w:tcPr>
          <w:p w14:paraId="693F9840">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一种插座生产用插套冲压成型装置</w:t>
            </w:r>
          </w:p>
        </w:tc>
        <w:tc>
          <w:tcPr>
            <w:tcW w:w="1415" w:type="dxa"/>
            <w:tcBorders>
              <w:tl2br w:val="nil"/>
              <w:tr2bl w:val="nil"/>
            </w:tcBorders>
            <w:noWrap w:val="0"/>
            <w:vAlign w:val="top"/>
          </w:tcPr>
          <w:p w14:paraId="4DA3939C">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发明授权</w:t>
            </w:r>
          </w:p>
        </w:tc>
        <w:tc>
          <w:tcPr>
            <w:tcW w:w="1501" w:type="dxa"/>
            <w:tcBorders>
              <w:tl2br w:val="nil"/>
              <w:tr2bl w:val="nil"/>
            </w:tcBorders>
            <w:noWrap w:val="0"/>
            <w:vAlign w:val="top"/>
          </w:tcPr>
          <w:p w14:paraId="6790CC91">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2019-12-19</w:t>
            </w:r>
          </w:p>
        </w:tc>
      </w:tr>
      <w:tr w14:paraId="498F02E2">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711" w:type="dxa"/>
            <w:tcBorders>
              <w:tl2br w:val="nil"/>
              <w:tr2bl w:val="nil"/>
            </w:tcBorders>
            <w:noWrap w:val="0"/>
            <w:vAlign w:val="top"/>
          </w:tcPr>
          <w:p w14:paraId="1E69EDCF">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8</w:t>
            </w:r>
          </w:p>
        </w:tc>
        <w:tc>
          <w:tcPr>
            <w:tcW w:w="5231" w:type="dxa"/>
            <w:tcBorders>
              <w:tl2br w:val="nil"/>
              <w:tr2bl w:val="nil"/>
            </w:tcBorders>
            <w:noWrap w:val="0"/>
            <w:vAlign w:val="top"/>
          </w:tcPr>
          <w:p w14:paraId="542C352E">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一种口罩鼻梁架除尘设备</w:t>
            </w:r>
          </w:p>
        </w:tc>
        <w:tc>
          <w:tcPr>
            <w:tcW w:w="1415" w:type="dxa"/>
            <w:tcBorders>
              <w:tl2br w:val="nil"/>
              <w:tr2bl w:val="nil"/>
            </w:tcBorders>
            <w:noWrap w:val="0"/>
            <w:vAlign w:val="top"/>
          </w:tcPr>
          <w:p w14:paraId="156CB4AB">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实用新型</w:t>
            </w:r>
          </w:p>
        </w:tc>
        <w:tc>
          <w:tcPr>
            <w:tcW w:w="1501" w:type="dxa"/>
            <w:tcBorders>
              <w:tl2br w:val="nil"/>
              <w:tr2bl w:val="nil"/>
            </w:tcBorders>
            <w:noWrap w:val="0"/>
            <w:vAlign w:val="top"/>
          </w:tcPr>
          <w:p w14:paraId="50CF59BC">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2020-05-01</w:t>
            </w:r>
          </w:p>
        </w:tc>
      </w:tr>
      <w:tr w14:paraId="08BB090B">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711" w:type="dxa"/>
            <w:tcBorders>
              <w:tl2br w:val="nil"/>
              <w:tr2bl w:val="nil"/>
            </w:tcBorders>
            <w:noWrap w:val="0"/>
            <w:vAlign w:val="top"/>
          </w:tcPr>
          <w:p w14:paraId="01636144">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9</w:t>
            </w:r>
          </w:p>
        </w:tc>
        <w:tc>
          <w:tcPr>
            <w:tcW w:w="5231" w:type="dxa"/>
            <w:tcBorders>
              <w:tl2br w:val="nil"/>
              <w:tr2bl w:val="nil"/>
            </w:tcBorders>
            <w:noWrap w:val="0"/>
            <w:vAlign w:val="top"/>
          </w:tcPr>
          <w:p w14:paraId="35ED8A02">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一种口罩鼻梁架裁剪装置</w:t>
            </w:r>
          </w:p>
        </w:tc>
        <w:tc>
          <w:tcPr>
            <w:tcW w:w="1415" w:type="dxa"/>
            <w:tcBorders>
              <w:tl2br w:val="nil"/>
              <w:tr2bl w:val="nil"/>
            </w:tcBorders>
            <w:noWrap w:val="0"/>
            <w:vAlign w:val="top"/>
          </w:tcPr>
          <w:p w14:paraId="004E025C">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实用新型</w:t>
            </w:r>
          </w:p>
        </w:tc>
        <w:tc>
          <w:tcPr>
            <w:tcW w:w="1501" w:type="dxa"/>
            <w:tcBorders>
              <w:tl2br w:val="nil"/>
              <w:tr2bl w:val="nil"/>
            </w:tcBorders>
            <w:noWrap w:val="0"/>
            <w:vAlign w:val="top"/>
          </w:tcPr>
          <w:p w14:paraId="706AE216">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2020-04-22</w:t>
            </w:r>
          </w:p>
        </w:tc>
      </w:tr>
      <w:tr w14:paraId="38DBB404">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711" w:type="dxa"/>
            <w:tcBorders>
              <w:tl2br w:val="nil"/>
              <w:tr2bl w:val="nil"/>
            </w:tcBorders>
            <w:noWrap w:val="0"/>
            <w:vAlign w:val="top"/>
          </w:tcPr>
          <w:p w14:paraId="2FA4C5A5">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10</w:t>
            </w:r>
          </w:p>
        </w:tc>
        <w:tc>
          <w:tcPr>
            <w:tcW w:w="5231" w:type="dxa"/>
            <w:tcBorders>
              <w:tl2br w:val="nil"/>
              <w:tr2bl w:val="nil"/>
            </w:tcBorders>
            <w:noWrap w:val="0"/>
            <w:vAlign w:val="top"/>
          </w:tcPr>
          <w:p w14:paraId="4058ADBE">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一种排插塑料外壳生产用废料回收装置</w:t>
            </w:r>
          </w:p>
        </w:tc>
        <w:tc>
          <w:tcPr>
            <w:tcW w:w="1415" w:type="dxa"/>
            <w:tcBorders>
              <w:tl2br w:val="nil"/>
              <w:tr2bl w:val="nil"/>
            </w:tcBorders>
            <w:noWrap w:val="0"/>
            <w:vAlign w:val="top"/>
          </w:tcPr>
          <w:p w14:paraId="7B4CD7B4">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实用新型</w:t>
            </w:r>
          </w:p>
        </w:tc>
        <w:tc>
          <w:tcPr>
            <w:tcW w:w="1501" w:type="dxa"/>
            <w:tcBorders>
              <w:tl2br w:val="nil"/>
              <w:tr2bl w:val="nil"/>
            </w:tcBorders>
            <w:noWrap w:val="0"/>
            <w:vAlign w:val="top"/>
          </w:tcPr>
          <w:p w14:paraId="1824AFF8">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2020-03-27</w:t>
            </w:r>
          </w:p>
        </w:tc>
      </w:tr>
      <w:tr w14:paraId="6A51088B">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711" w:type="dxa"/>
            <w:tcBorders>
              <w:tl2br w:val="nil"/>
              <w:tr2bl w:val="nil"/>
            </w:tcBorders>
            <w:noWrap w:val="0"/>
            <w:vAlign w:val="top"/>
          </w:tcPr>
          <w:p w14:paraId="50F4D143">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11</w:t>
            </w:r>
          </w:p>
        </w:tc>
        <w:tc>
          <w:tcPr>
            <w:tcW w:w="5231" w:type="dxa"/>
            <w:tcBorders>
              <w:tl2br w:val="nil"/>
              <w:tr2bl w:val="nil"/>
            </w:tcBorders>
            <w:noWrap w:val="0"/>
            <w:vAlign w:val="top"/>
          </w:tcPr>
          <w:p w14:paraId="138AA022">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一种电源线整理用并拢装置</w:t>
            </w:r>
          </w:p>
        </w:tc>
        <w:tc>
          <w:tcPr>
            <w:tcW w:w="1415" w:type="dxa"/>
            <w:tcBorders>
              <w:tl2br w:val="nil"/>
              <w:tr2bl w:val="nil"/>
            </w:tcBorders>
            <w:noWrap w:val="0"/>
            <w:vAlign w:val="top"/>
          </w:tcPr>
          <w:p w14:paraId="107A4EB5">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实用新型</w:t>
            </w:r>
          </w:p>
        </w:tc>
        <w:tc>
          <w:tcPr>
            <w:tcW w:w="1501" w:type="dxa"/>
            <w:tcBorders>
              <w:tl2br w:val="nil"/>
              <w:tr2bl w:val="nil"/>
            </w:tcBorders>
            <w:noWrap w:val="0"/>
            <w:vAlign w:val="top"/>
          </w:tcPr>
          <w:p w14:paraId="61075851">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2020-05-01</w:t>
            </w:r>
          </w:p>
        </w:tc>
      </w:tr>
      <w:tr w14:paraId="6F74E6F8">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711" w:type="dxa"/>
            <w:tcBorders>
              <w:tl2br w:val="nil"/>
              <w:tr2bl w:val="nil"/>
            </w:tcBorders>
            <w:noWrap w:val="0"/>
            <w:vAlign w:val="top"/>
          </w:tcPr>
          <w:p w14:paraId="0ED6A40F">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12</w:t>
            </w:r>
          </w:p>
        </w:tc>
        <w:tc>
          <w:tcPr>
            <w:tcW w:w="5231" w:type="dxa"/>
            <w:tcBorders>
              <w:tl2br w:val="nil"/>
              <w:tr2bl w:val="nil"/>
            </w:tcBorders>
            <w:noWrap w:val="0"/>
            <w:vAlign w:val="top"/>
          </w:tcPr>
          <w:p w14:paraId="2F8C49BB">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一种口罩鼻梁架生产用自动上料装置</w:t>
            </w:r>
          </w:p>
        </w:tc>
        <w:tc>
          <w:tcPr>
            <w:tcW w:w="1415" w:type="dxa"/>
            <w:tcBorders>
              <w:tl2br w:val="nil"/>
              <w:tr2bl w:val="nil"/>
            </w:tcBorders>
            <w:noWrap w:val="0"/>
            <w:vAlign w:val="top"/>
          </w:tcPr>
          <w:p w14:paraId="0526564E">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实用新型</w:t>
            </w:r>
          </w:p>
        </w:tc>
        <w:tc>
          <w:tcPr>
            <w:tcW w:w="1501" w:type="dxa"/>
            <w:tcBorders>
              <w:tl2br w:val="nil"/>
              <w:tr2bl w:val="nil"/>
            </w:tcBorders>
            <w:noWrap w:val="0"/>
            <w:vAlign w:val="top"/>
          </w:tcPr>
          <w:p w14:paraId="69E5D469">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2020-04-16</w:t>
            </w:r>
          </w:p>
        </w:tc>
      </w:tr>
      <w:tr w14:paraId="5A3D47CF">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711" w:type="dxa"/>
            <w:tcBorders>
              <w:tl2br w:val="nil"/>
              <w:tr2bl w:val="nil"/>
            </w:tcBorders>
            <w:noWrap w:val="0"/>
            <w:vAlign w:val="top"/>
          </w:tcPr>
          <w:p w14:paraId="78B7D6AE">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13</w:t>
            </w:r>
          </w:p>
        </w:tc>
        <w:tc>
          <w:tcPr>
            <w:tcW w:w="5231" w:type="dxa"/>
            <w:tcBorders>
              <w:tl2br w:val="nil"/>
              <w:tr2bl w:val="nil"/>
            </w:tcBorders>
            <w:noWrap w:val="0"/>
            <w:vAlign w:val="top"/>
          </w:tcPr>
          <w:p w14:paraId="3EFFCB99">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一种电源线自动理线装置</w:t>
            </w:r>
          </w:p>
        </w:tc>
        <w:tc>
          <w:tcPr>
            <w:tcW w:w="1415" w:type="dxa"/>
            <w:tcBorders>
              <w:tl2br w:val="nil"/>
              <w:tr2bl w:val="nil"/>
            </w:tcBorders>
            <w:noWrap w:val="0"/>
            <w:vAlign w:val="top"/>
          </w:tcPr>
          <w:p w14:paraId="7D8DC6FC">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实用新型</w:t>
            </w:r>
          </w:p>
        </w:tc>
        <w:tc>
          <w:tcPr>
            <w:tcW w:w="1501" w:type="dxa"/>
            <w:tcBorders>
              <w:tl2br w:val="nil"/>
              <w:tr2bl w:val="nil"/>
            </w:tcBorders>
            <w:noWrap w:val="0"/>
            <w:vAlign w:val="top"/>
          </w:tcPr>
          <w:p w14:paraId="0D7D3A9A">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2020-04-22</w:t>
            </w:r>
          </w:p>
        </w:tc>
      </w:tr>
      <w:tr w14:paraId="17BA2F26">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711" w:type="dxa"/>
            <w:tcBorders>
              <w:tl2br w:val="nil"/>
              <w:tr2bl w:val="nil"/>
            </w:tcBorders>
            <w:noWrap w:val="0"/>
            <w:vAlign w:val="top"/>
          </w:tcPr>
          <w:p w14:paraId="60E7135A">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14</w:t>
            </w:r>
          </w:p>
        </w:tc>
        <w:tc>
          <w:tcPr>
            <w:tcW w:w="5231" w:type="dxa"/>
            <w:tcBorders>
              <w:tl2br w:val="nil"/>
              <w:tr2bl w:val="nil"/>
            </w:tcBorders>
            <w:noWrap w:val="0"/>
            <w:vAlign w:val="top"/>
          </w:tcPr>
          <w:p w14:paraId="24F08FAB">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一种排插塑料外壳生产用高效型搅拌装置</w:t>
            </w:r>
          </w:p>
        </w:tc>
        <w:tc>
          <w:tcPr>
            <w:tcW w:w="1415" w:type="dxa"/>
            <w:tcBorders>
              <w:tl2br w:val="nil"/>
              <w:tr2bl w:val="nil"/>
            </w:tcBorders>
            <w:noWrap w:val="0"/>
            <w:vAlign w:val="top"/>
          </w:tcPr>
          <w:p w14:paraId="26777751">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实用新型</w:t>
            </w:r>
          </w:p>
        </w:tc>
        <w:tc>
          <w:tcPr>
            <w:tcW w:w="1501" w:type="dxa"/>
            <w:tcBorders>
              <w:tl2br w:val="nil"/>
              <w:tr2bl w:val="nil"/>
            </w:tcBorders>
            <w:noWrap w:val="0"/>
            <w:vAlign w:val="top"/>
          </w:tcPr>
          <w:p w14:paraId="46E8DF4A">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2020-03-27</w:t>
            </w:r>
          </w:p>
        </w:tc>
      </w:tr>
      <w:tr w14:paraId="043961D8">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711" w:type="dxa"/>
            <w:tcBorders>
              <w:tl2br w:val="nil"/>
              <w:tr2bl w:val="nil"/>
            </w:tcBorders>
            <w:noWrap w:val="0"/>
            <w:vAlign w:val="top"/>
          </w:tcPr>
          <w:p w14:paraId="79E8BD52">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15</w:t>
            </w:r>
          </w:p>
        </w:tc>
        <w:tc>
          <w:tcPr>
            <w:tcW w:w="5231" w:type="dxa"/>
            <w:tcBorders>
              <w:tl2br w:val="nil"/>
              <w:tr2bl w:val="nil"/>
            </w:tcBorders>
            <w:noWrap w:val="0"/>
            <w:vAlign w:val="top"/>
          </w:tcPr>
          <w:p w14:paraId="242597BC">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一种口罩鼻梁架折弯装置</w:t>
            </w:r>
          </w:p>
        </w:tc>
        <w:tc>
          <w:tcPr>
            <w:tcW w:w="1415" w:type="dxa"/>
            <w:tcBorders>
              <w:tl2br w:val="nil"/>
              <w:tr2bl w:val="nil"/>
            </w:tcBorders>
            <w:noWrap w:val="0"/>
            <w:vAlign w:val="top"/>
          </w:tcPr>
          <w:p w14:paraId="28A51068">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实用新型</w:t>
            </w:r>
          </w:p>
        </w:tc>
        <w:tc>
          <w:tcPr>
            <w:tcW w:w="1501" w:type="dxa"/>
            <w:tcBorders>
              <w:tl2br w:val="nil"/>
              <w:tr2bl w:val="nil"/>
            </w:tcBorders>
            <w:noWrap w:val="0"/>
            <w:vAlign w:val="top"/>
          </w:tcPr>
          <w:p w14:paraId="21E6DF0C">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2020-04-16</w:t>
            </w:r>
          </w:p>
        </w:tc>
      </w:tr>
      <w:tr w14:paraId="1CAAC095">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711" w:type="dxa"/>
            <w:tcBorders>
              <w:tl2br w:val="nil"/>
              <w:tr2bl w:val="nil"/>
            </w:tcBorders>
            <w:noWrap w:val="0"/>
            <w:vAlign w:val="top"/>
          </w:tcPr>
          <w:p w14:paraId="5B33148A">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16</w:t>
            </w:r>
          </w:p>
        </w:tc>
        <w:tc>
          <w:tcPr>
            <w:tcW w:w="5231" w:type="dxa"/>
            <w:tcBorders>
              <w:tl2br w:val="nil"/>
              <w:tr2bl w:val="nil"/>
            </w:tcBorders>
            <w:noWrap w:val="0"/>
            <w:vAlign w:val="top"/>
          </w:tcPr>
          <w:p w14:paraId="220997F2">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一种电源线压线板</w:t>
            </w:r>
          </w:p>
        </w:tc>
        <w:tc>
          <w:tcPr>
            <w:tcW w:w="1415" w:type="dxa"/>
            <w:tcBorders>
              <w:tl2br w:val="nil"/>
              <w:tr2bl w:val="nil"/>
            </w:tcBorders>
            <w:noWrap w:val="0"/>
            <w:vAlign w:val="top"/>
          </w:tcPr>
          <w:p w14:paraId="163B9512">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实用新型</w:t>
            </w:r>
          </w:p>
        </w:tc>
        <w:tc>
          <w:tcPr>
            <w:tcW w:w="1501" w:type="dxa"/>
            <w:tcBorders>
              <w:tl2br w:val="nil"/>
              <w:tr2bl w:val="nil"/>
            </w:tcBorders>
            <w:noWrap w:val="0"/>
            <w:vAlign w:val="top"/>
          </w:tcPr>
          <w:p w14:paraId="2528581F">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2020-04-12</w:t>
            </w:r>
          </w:p>
        </w:tc>
      </w:tr>
      <w:tr w14:paraId="384D9FEA">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711" w:type="dxa"/>
            <w:tcBorders>
              <w:tl2br w:val="nil"/>
              <w:tr2bl w:val="nil"/>
            </w:tcBorders>
            <w:noWrap w:val="0"/>
            <w:vAlign w:val="top"/>
          </w:tcPr>
          <w:p w14:paraId="622CE143">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17</w:t>
            </w:r>
          </w:p>
        </w:tc>
        <w:tc>
          <w:tcPr>
            <w:tcW w:w="5231" w:type="dxa"/>
            <w:tcBorders>
              <w:tl2br w:val="nil"/>
              <w:tr2bl w:val="nil"/>
            </w:tcBorders>
            <w:noWrap w:val="0"/>
            <w:vAlign w:val="top"/>
          </w:tcPr>
          <w:p w14:paraId="4D4BBF73">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一种电源线生产加工用废料回收装置</w:t>
            </w:r>
          </w:p>
        </w:tc>
        <w:tc>
          <w:tcPr>
            <w:tcW w:w="1415" w:type="dxa"/>
            <w:tcBorders>
              <w:tl2br w:val="nil"/>
              <w:tr2bl w:val="nil"/>
            </w:tcBorders>
            <w:noWrap w:val="0"/>
            <w:vAlign w:val="top"/>
          </w:tcPr>
          <w:p w14:paraId="31BF20B9">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实用新型</w:t>
            </w:r>
          </w:p>
        </w:tc>
        <w:tc>
          <w:tcPr>
            <w:tcW w:w="1501" w:type="dxa"/>
            <w:tcBorders>
              <w:tl2br w:val="nil"/>
              <w:tr2bl w:val="nil"/>
            </w:tcBorders>
            <w:noWrap w:val="0"/>
            <w:vAlign w:val="top"/>
          </w:tcPr>
          <w:p w14:paraId="56A0D0ED">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2020-04-12</w:t>
            </w:r>
          </w:p>
        </w:tc>
      </w:tr>
      <w:tr w14:paraId="426E4E2E">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711" w:type="dxa"/>
            <w:tcBorders>
              <w:tl2br w:val="nil"/>
              <w:tr2bl w:val="nil"/>
            </w:tcBorders>
            <w:noWrap w:val="0"/>
            <w:vAlign w:val="top"/>
          </w:tcPr>
          <w:p w14:paraId="2E9AB6B1">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18</w:t>
            </w:r>
          </w:p>
        </w:tc>
        <w:tc>
          <w:tcPr>
            <w:tcW w:w="5231" w:type="dxa"/>
            <w:tcBorders>
              <w:tl2br w:val="nil"/>
              <w:tr2bl w:val="nil"/>
            </w:tcBorders>
            <w:noWrap w:val="0"/>
            <w:vAlign w:val="top"/>
          </w:tcPr>
          <w:p w14:paraId="4706C47C">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一种开关柜电气接头卡扣成型出料切割装置</w:t>
            </w:r>
          </w:p>
        </w:tc>
        <w:tc>
          <w:tcPr>
            <w:tcW w:w="1415" w:type="dxa"/>
            <w:tcBorders>
              <w:tl2br w:val="nil"/>
              <w:tr2bl w:val="nil"/>
            </w:tcBorders>
            <w:noWrap w:val="0"/>
            <w:vAlign w:val="top"/>
          </w:tcPr>
          <w:p w14:paraId="09703952">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实用新型</w:t>
            </w:r>
          </w:p>
        </w:tc>
        <w:tc>
          <w:tcPr>
            <w:tcW w:w="1501" w:type="dxa"/>
            <w:tcBorders>
              <w:tl2br w:val="nil"/>
              <w:tr2bl w:val="nil"/>
            </w:tcBorders>
            <w:noWrap w:val="0"/>
            <w:vAlign w:val="top"/>
          </w:tcPr>
          <w:p w14:paraId="7CDC959C">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2019-07-12</w:t>
            </w:r>
          </w:p>
        </w:tc>
      </w:tr>
      <w:tr w14:paraId="3EE408DB">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711" w:type="dxa"/>
            <w:tcBorders>
              <w:tl2br w:val="nil"/>
              <w:tr2bl w:val="nil"/>
            </w:tcBorders>
            <w:noWrap w:val="0"/>
            <w:vAlign w:val="top"/>
          </w:tcPr>
          <w:p w14:paraId="31148681">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19</w:t>
            </w:r>
          </w:p>
        </w:tc>
        <w:tc>
          <w:tcPr>
            <w:tcW w:w="5231" w:type="dxa"/>
            <w:tcBorders>
              <w:tl2br w:val="nil"/>
              <w:tr2bl w:val="nil"/>
            </w:tcBorders>
            <w:noWrap w:val="0"/>
            <w:vAlign w:val="top"/>
          </w:tcPr>
          <w:p w14:paraId="56A085EC">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一种电缆线生产击穿检测装置</w:t>
            </w:r>
          </w:p>
        </w:tc>
        <w:tc>
          <w:tcPr>
            <w:tcW w:w="1415" w:type="dxa"/>
            <w:tcBorders>
              <w:tl2br w:val="nil"/>
              <w:tr2bl w:val="nil"/>
            </w:tcBorders>
            <w:noWrap w:val="0"/>
            <w:vAlign w:val="top"/>
          </w:tcPr>
          <w:p w14:paraId="00438BD8">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实用新型</w:t>
            </w:r>
          </w:p>
        </w:tc>
        <w:tc>
          <w:tcPr>
            <w:tcW w:w="1501" w:type="dxa"/>
            <w:tcBorders>
              <w:tl2br w:val="nil"/>
              <w:tr2bl w:val="nil"/>
            </w:tcBorders>
            <w:noWrap w:val="0"/>
            <w:vAlign w:val="top"/>
          </w:tcPr>
          <w:p w14:paraId="6B76DA12">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2019-03-28</w:t>
            </w:r>
          </w:p>
        </w:tc>
      </w:tr>
      <w:tr w14:paraId="264E31F5">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711" w:type="dxa"/>
            <w:tcBorders>
              <w:tl2br w:val="nil"/>
              <w:tr2bl w:val="nil"/>
            </w:tcBorders>
            <w:noWrap w:val="0"/>
            <w:vAlign w:val="top"/>
          </w:tcPr>
          <w:p w14:paraId="5641BD1B">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20</w:t>
            </w:r>
          </w:p>
        </w:tc>
        <w:tc>
          <w:tcPr>
            <w:tcW w:w="5231" w:type="dxa"/>
            <w:tcBorders>
              <w:tl2br w:val="nil"/>
              <w:tr2bl w:val="nil"/>
            </w:tcBorders>
            <w:noWrap w:val="0"/>
            <w:vAlign w:val="top"/>
          </w:tcPr>
          <w:p w14:paraId="4C8553FC">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一种电缆线成品捆绑自动给料装置</w:t>
            </w:r>
          </w:p>
        </w:tc>
        <w:tc>
          <w:tcPr>
            <w:tcW w:w="1415" w:type="dxa"/>
            <w:tcBorders>
              <w:tl2br w:val="nil"/>
              <w:tr2bl w:val="nil"/>
            </w:tcBorders>
            <w:noWrap w:val="0"/>
            <w:vAlign w:val="top"/>
          </w:tcPr>
          <w:p w14:paraId="4F56A626">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实用新型</w:t>
            </w:r>
          </w:p>
        </w:tc>
        <w:tc>
          <w:tcPr>
            <w:tcW w:w="1501" w:type="dxa"/>
            <w:tcBorders>
              <w:tl2br w:val="nil"/>
              <w:tr2bl w:val="nil"/>
            </w:tcBorders>
            <w:noWrap w:val="0"/>
            <w:vAlign w:val="top"/>
          </w:tcPr>
          <w:p w14:paraId="67CF7C0C">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2019-04-10</w:t>
            </w:r>
          </w:p>
        </w:tc>
      </w:tr>
      <w:tr w14:paraId="2B365718">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711" w:type="dxa"/>
            <w:tcBorders>
              <w:tl2br w:val="nil"/>
              <w:tr2bl w:val="nil"/>
            </w:tcBorders>
            <w:noWrap w:val="0"/>
            <w:vAlign w:val="top"/>
          </w:tcPr>
          <w:p w14:paraId="4A91AC09">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21</w:t>
            </w:r>
          </w:p>
        </w:tc>
        <w:tc>
          <w:tcPr>
            <w:tcW w:w="5231" w:type="dxa"/>
            <w:tcBorders>
              <w:tl2br w:val="nil"/>
              <w:tr2bl w:val="nil"/>
            </w:tcBorders>
            <w:noWrap w:val="0"/>
            <w:vAlign w:val="top"/>
          </w:tcPr>
          <w:p w14:paraId="4EC63192">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一种电缆线表面印字清除装置</w:t>
            </w:r>
          </w:p>
        </w:tc>
        <w:tc>
          <w:tcPr>
            <w:tcW w:w="1415" w:type="dxa"/>
            <w:tcBorders>
              <w:tl2br w:val="nil"/>
              <w:tr2bl w:val="nil"/>
            </w:tcBorders>
            <w:noWrap w:val="0"/>
            <w:vAlign w:val="top"/>
          </w:tcPr>
          <w:p w14:paraId="76CB8620">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实用新型</w:t>
            </w:r>
          </w:p>
        </w:tc>
        <w:tc>
          <w:tcPr>
            <w:tcW w:w="1501" w:type="dxa"/>
            <w:tcBorders>
              <w:tl2br w:val="nil"/>
              <w:tr2bl w:val="nil"/>
            </w:tcBorders>
            <w:noWrap w:val="0"/>
            <w:vAlign w:val="top"/>
          </w:tcPr>
          <w:p w14:paraId="772A13B3">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2019-03-28</w:t>
            </w:r>
          </w:p>
        </w:tc>
      </w:tr>
      <w:tr w14:paraId="34DC5C90">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711" w:type="dxa"/>
            <w:tcBorders>
              <w:tl2br w:val="nil"/>
              <w:tr2bl w:val="nil"/>
            </w:tcBorders>
            <w:noWrap w:val="0"/>
            <w:vAlign w:val="top"/>
          </w:tcPr>
          <w:p w14:paraId="449E6D63">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22</w:t>
            </w:r>
          </w:p>
        </w:tc>
        <w:tc>
          <w:tcPr>
            <w:tcW w:w="5231" w:type="dxa"/>
            <w:tcBorders>
              <w:tl2br w:val="nil"/>
              <w:tr2bl w:val="nil"/>
            </w:tcBorders>
            <w:noWrap w:val="0"/>
            <w:vAlign w:val="top"/>
          </w:tcPr>
          <w:p w14:paraId="192E21C1">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一种芯线绞对成缆的束线器</w:t>
            </w:r>
          </w:p>
        </w:tc>
        <w:tc>
          <w:tcPr>
            <w:tcW w:w="1415" w:type="dxa"/>
            <w:tcBorders>
              <w:tl2br w:val="nil"/>
              <w:tr2bl w:val="nil"/>
            </w:tcBorders>
            <w:noWrap w:val="0"/>
            <w:vAlign w:val="top"/>
          </w:tcPr>
          <w:p w14:paraId="24C7FDDD">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实用新型</w:t>
            </w:r>
          </w:p>
        </w:tc>
        <w:tc>
          <w:tcPr>
            <w:tcW w:w="1501" w:type="dxa"/>
            <w:tcBorders>
              <w:tl2br w:val="nil"/>
              <w:tr2bl w:val="nil"/>
            </w:tcBorders>
            <w:noWrap w:val="0"/>
            <w:vAlign w:val="top"/>
          </w:tcPr>
          <w:p w14:paraId="4365496D">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2019-04-03</w:t>
            </w:r>
          </w:p>
        </w:tc>
      </w:tr>
      <w:tr w14:paraId="315FA08A">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711" w:type="dxa"/>
            <w:tcBorders>
              <w:tl2br w:val="nil"/>
              <w:tr2bl w:val="nil"/>
            </w:tcBorders>
            <w:noWrap w:val="0"/>
            <w:vAlign w:val="top"/>
          </w:tcPr>
          <w:p w14:paraId="51E02B0A">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23</w:t>
            </w:r>
          </w:p>
        </w:tc>
        <w:tc>
          <w:tcPr>
            <w:tcW w:w="5231" w:type="dxa"/>
            <w:tcBorders>
              <w:tl2br w:val="nil"/>
              <w:tr2bl w:val="nil"/>
            </w:tcBorders>
            <w:noWrap w:val="0"/>
            <w:vAlign w:val="top"/>
          </w:tcPr>
          <w:p w14:paraId="5B02BF76">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一种电缆线生产用绝缘层挤出机机头的校准装置</w:t>
            </w:r>
          </w:p>
        </w:tc>
        <w:tc>
          <w:tcPr>
            <w:tcW w:w="1415" w:type="dxa"/>
            <w:tcBorders>
              <w:tl2br w:val="nil"/>
              <w:tr2bl w:val="nil"/>
            </w:tcBorders>
            <w:noWrap w:val="0"/>
            <w:vAlign w:val="top"/>
          </w:tcPr>
          <w:p w14:paraId="3CFAB89D">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实用新型</w:t>
            </w:r>
          </w:p>
        </w:tc>
        <w:tc>
          <w:tcPr>
            <w:tcW w:w="1501" w:type="dxa"/>
            <w:tcBorders>
              <w:tl2br w:val="nil"/>
              <w:tr2bl w:val="nil"/>
            </w:tcBorders>
            <w:noWrap w:val="0"/>
            <w:vAlign w:val="top"/>
          </w:tcPr>
          <w:p w14:paraId="2BDDC093">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2019-04-03</w:t>
            </w:r>
          </w:p>
        </w:tc>
      </w:tr>
      <w:tr w14:paraId="41FD8A6C">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711" w:type="dxa"/>
            <w:tcBorders>
              <w:tl2br w:val="nil"/>
              <w:tr2bl w:val="nil"/>
            </w:tcBorders>
            <w:noWrap w:val="0"/>
            <w:vAlign w:val="top"/>
          </w:tcPr>
          <w:p w14:paraId="43885BDE">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24</w:t>
            </w:r>
          </w:p>
        </w:tc>
        <w:tc>
          <w:tcPr>
            <w:tcW w:w="5231" w:type="dxa"/>
            <w:tcBorders>
              <w:tl2br w:val="nil"/>
              <w:tr2bl w:val="nil"/>
            </w:tcBorders>
            <w:noWrap w:val="0"/>
            <w:vAlign w:val="top"/>
          </w:tcPr>
          <w:p w14:paraId="7BE27258">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一种具有防水防尘功能的插头</w:t>
            </w:r>
          </w:p>
        </w:tc>
        <w:tc>
          <w:tcPr>
            <w:tcW w:w="1415" w:type="dxa"/>
            <w:tcBorders>
              <w:tl2br w:val="nil"/>
              <w:tr2bl w:val="nil"/>
            </w:tcBorders>
            <w:noWrap w:val="0"/>
            <w:vAlign w:val="top"/>
          </w:tcPr>
          <w:p w14:paraId="398C6F8F">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实用新型</w:t>
            </w:r>
          </w:p>
        </w:tc>
        <w:tc>
          <w:tcPr>
            <w:tcW w:w="1501" w:type="dxa"/>
            <w:tcBorders>
              <w:tl2br w:val="nil"/>
              <w:tr2bl w:val="nil"/>
            </w:tcBorders>
            <w:noWrap w:val="0"/>
            <w:vAlign w:val="top"/>
          </w:tcPr>
          <w:p w14:paraId="09A21652">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2018-05-29</w:t>
            </w:r>
          </w:p>
        </w:tc>
      </w:tr>
      <w:tr w14:paraId="136B87D1">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711" w:type="dxa"/>
            <w:tcBorders>
              <w:tl2br w:val="nil"/>
              <w:tr2bl w:val="nil"/>
            </w:tcBorders>
            <w:noWrap w:val="0"/>
            <w:vAlign w:val="top"/>
          </w:tcPr>
          <w:p w14:paraId="26BEC12D">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25</w:t>
            </w:r>
          </w:p>
        </w:tc>
        <w:tc>
          <w:tcPr>
            <w:tcW w:w="5231" w:type="dxa"/>
            <w:tcBorders>
              <w:tl2br w:val="nil"/>
              <w:tr2bl w:val="nil"/>
            </w:tcBorders>
            <w:noWrap w:val="0"/>
            <w:vAlign w:val="top"/>
          </w:tcPr>
          <w:p w14:paraId="499EF08C">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一种电源线拉伸强度测试装置</w:t>
            </w:r>
          </w:p>
        </w:tc>
        <w:tc>
          <w:tcPr>
            <w:tcW w:w="1415" w:type="dxa"/>
            <w:tcBorders>
              <w:tl2br w:val="nil"/>
              <w:tr2bl w:val="nil"/>
            </w:tcBorders>
            <w:noWrap w:val="0"/>
            <w:vAlign w:val="top"/>
          </w:tcPr>
          <w:p w14:paraId="42341804">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实用新型</w:t>
            </w:r>
          </w:p>
        </w:tc>
        <w:tc>
          <w:tcPr>
            <w:tcW w:w="1501" w:type="dxa"/>
            <w:tcBorders>
              <w:tl2br w:val="nil"/>
              <w:tr2bl w:val="nil"/>
            </w:tcBorders>
            <w:noWrap w:val="0"/>
            <w:vAlign w:val="top"/>
          </w:tcPr>
          <w:p w14:paraId="44798C23">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2018-05-16</w:t>
            </w:r>
          </w:p>
        </w:tc>
      </w:tr>
      <w:tr w14:paraId="32E36EE2">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711" w:type="dxa"/>
            <w:tcBorders>
              <w:tl2br w:val="nil"/>
              <w:tr2bl w:val="nil"/>
            </w:tcBorders>
            <w:noWrap w:val="0"/>
            <w:vAlign w:val="top"/>
          </w:tcPr>
          <w:p w14:paraId="39D6F770">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26</w:t>
            </w:r>
          </w:p>
        </w:tc>
        <w:tc>
          <w:tcPr>
            <w:tcW w:w="5231" w:type="dxa"/>
            <w:tcBorders>
              <w:tl2br w:val="nil"/>
              <w:tr2bl w:val="nil"/>
            </w:tcBorders>
            <w:noWrap w:val="0"/>
            <w:vAlign w:val="top"/>
          </w:tcPr>
          <w:p w14:paraId="523FED4B">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一种电缆线加工用冷却装置</w:t>
            </w:r>
          </w:p>
        </w:tc>
        <w:tc>
          <w:tcPr>
            <w:tcW w:w="1415" w:type="dxa"/>
            <w:tcBorders>
              <w:tl2br w:val="nil"/>
              <w:tr2bl w:val="nil"/>
            </w:tcBorders>
            <w:noWrap w:val="0"/>
            <w:vAlign w:val="top"/>
          </w:tcPr>
          <w:p w14:paraId="76F4E545">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实用新型</w:t>
            </w:r>
          </w:p>
        </w:tc>
        <w:tc>
          <w:tcPr>
            <w:tcW w:w="1501" w:type="dxa"/>
            <w:tcBorders>
              <w:tl2br w:val="nil"/>
              <w:tr2bl w:val="nil"/>
            </w:tcBorders>
            <w:noWrap w:val="0"/>
            <w:vAlign w:val="top"/>
          </w:tcPr>
          <w:p w14:paraId="249C560C">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2018-05-16</w:t>
            </w:r>
          </w:p>
        </w:tc>
      </w:tr>
      <w:tr w14:paraId="57346D6C">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711" w:type="dxa"/>
            <w:tcBorders>
              <w:tl2br w:val="nil"/>
              <w:tr2bl w:val="nil"/>
            </w:tcBorders>
            <w:noWrap w:val="0"/>
            <w:vAlign w:val="top"/>
          </w:tcPr>
          <w:p w14:paraId="4AA1BCE0">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27</w:t>
            </w:r>
          </w:p>
        </w:tc>
        <w:tc>
          <w:tcPr>
            <w:tcW w:w="5231" w:type="dxa"/>
            <w:tcBorders>
              <w:tl2br w:val="nil"/>
              <w:tr2bl w:val="nil"/>
            </w:tcBorders>
            <w:noWrap w:val="0"/>
            <w:vAlign w:val="top"/>
          </w:tcPr>
          <w:p w14:paraId="6F5E3AA8">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一种具有开关的多功能电源插头</w:t>
            </w:r>
          </w:p>
        </w:tc>
        <w:tc>
          <w:tcPr>
            <w:tcW w:w="1415" w:type="dxa"/>
            <w:tcBorders>
              <w:tl2br w:val="nil"/>
              <w:tr2bl w:val="nil"/>
            </w:tcBorders>
            <w:noWrap w:val="0"/>
            <w:vAlign w:val="top"/>
          </w:tcPr>
          <w:p w14:paraId="3375FFCB">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实用新型</w:t>
            </w:r>
          </w:p>
        </w:tc>
        <w:tc>
          <w:tcPr>
            <w:tcW w:w="1501" w:type="dxa"/>
            <w:tcBorders>
              <w:tl2br w:val="nil"/>
              <w:tr2bl w:val="nil"/>
            </w:tcBorders>
            <w:noWrap w:val="0"/>
            <w:vAlign w:val="top"/>
          </w:tcPr>
          <w:p w14:paraId="51AEE5B5">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2018-05-10</w:t>
            </w:r>
          </w:p>
        </w:tc>
      </w:tr>
      <w:tr w14:paraId="1044765F">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711" w:type="dxa"/>
            <w:tcBorders>
              <w:tl2br w:val="nil"/>
              <w:tr2bl w:val="nil"/>
            </w:tcBorders>
            <w:noWrap w:val="0"/>
            <w:vAlign w:val="top"/>
          </w:tcPr>
          <w:p w14:paraId="7D964A29">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28</w:t>
            </w:r>
          </w:p>
        </w:tc>
        <w:tc>
          <w:tcPr>
            <w:tcW w:w="5231" w:type="dxa"/>
            <w:tcBorders>
              <w:tl2br w:val="nil"/>
              <w:tr2bl w:val="nil"/>
            </w:tcBorders>
            <w:noWrap w:val="0"/>
            <w:vAlign w:val="top"/>
          </w:tcPr>
          <w:p w14:paraId="563AFFAB">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一种电缆线加工用烘干装置</w:t>
            </w:r>
          </w:p>
        </w:tc>
        <w:tc>
          <w:tcPr>
            <w:tcW w:w="1415" w:type="dxa"/>
            <w:tcBorders>
              <w:tl2br w:val="nil"/>
              <w:tr2bl w:val="nil"/>
            </w:tcBorders>
            <w:noWrap w:val="0"/>
            <w:vAlign w:val="top"/>
          </w:tcPr>
          <w:p w14:paraId="06F0657C">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实用新型</w:t>
            </w:r>
          </w:p>
        </w:tc>
        <w:tc>
          <w:tcPr>
            <w:tcW w:w="1501" w:type="dxa"/>
            <w:tcBorders>
              <w:tl2br w:val="nil"/>
              <w:tr2bl w:val="nil"/>
            </w:tcBorders>
            <w:noWrap w:val="0"/>
            <w:vAlign w:val="top"/>
          </w:tcPr>
          <w:p w14:paraId="1EB70158">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2018-05-10</w:t>
            </w:r>
          </w:p>
        </w:tc>
      </w:tr>
      <w:tr w14:paraId="02E42225">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711" w:type="dxa"/>
            <w:tcBorders>
              <w:tl2br w:val="nil"/>
              <w:tr2bl w:val="nil"/>
            </w:tcBorders>
            <w:noWrap w:val="0"/>
            <w:vAlign w:val="top"/>
          </w:tcPr>
          <w:p w14:paraId="27BCC45E">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29</w:t>
            </w:r>
          </w:p>
        </w:tc>
        <w:tc>
          <w:tcPr>
            <w:tcW w:w="5231" w:type="dxa"/>
            <w:tcBorders>
              <w:tl2br w:val="nil"/>
              <w:tr2bl w:val="nil"/>
            </w:tcBorders>
            <w:noWrap w:val="0"/>
            <w:vAlign w:val="top"/>
          </w:tcPr>
          <w:p w14:paraId="7A5B75CA">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一种电缆线加工用收卷装置</w:t>
            </w:r>
          </w:p>
        </w:tc>
        <w:tc>
          <w:tcPr>
            <w:tcW w:w="1415" w:type="dxa"/>
            <w:tcBorders>
              <w:tl2br w:val="nil"/>
              <w:tr2bl w:val="nil"/>
            </w:tcBorders>
            <w:noWrap w:val="0"/>
            <w:vAlign w:val="top"/>
          </w:tcPr>
          <w:p w14:paraId="7B4BC48F">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实用新型</w:t>
            </w:r>
          </w:p>
        </w:tc>
        <w:tc>
          <w:tcPr>
            <w:tcW w:w="1501" w:type="dxa"/>
            <w:tcBorders>
              <w:tl2br w:val="nil"/>
              <w:tr2bl w:val="nil"/>
            </w:tcBorders>
            <w:noWrap w:val="0"/>
            <w:vAlign w:val="top"/>
          </w:tcPr>
          <w:p w14:paraId="592C5FC5">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2018-05-10</w:t>
            </w:r>
          </w:p>
        </w:tc>
      </w:tr>
      <w:tr w14:paraId="3857FEC7">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711" w:type="dxa"/>
            <w:tcBorders>
              <w:tl2br w:val="nil"/>
              <w:tr2bl w:val="nil"/>
            </w:tcBorders>
            <w:noWrap w:val="0"/>
            <w:vAlign w:val="top"/>
          </w:tcPr>
          <w:p w14:paraId="2BE9A71D">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30</w:t>
            </w:r>
          </w:p>
        </w:tc>
        <w:tc>
          <w:tcPr>
            <w:tcW w:w="5231" w:type="dxa"/>
            <w:tcBorders>
              <w:tl2br w:val="nil"/>
              <w:tr2bl w:val="nil"/>
            </w:tcBorders>
            <w:noWrap w:val="0"/>
            <w:vAlign w:val="top"/>
          </w:tcPr>
          <w:p w14:paraId="0EBD676A">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一种电源线加工废料收集装置</w:t>
            </w:r>
          </w:p>
        </w:tc>
        <w:tc>
          <w:tcPr>
            <w:tcW w:w="1415" w:type="dxa"/>
            <w:tcBorders>
              <w:tl2br w:val="nil"/>
              <w:tr2bl w:val="nil"/>
            </w:tcBorders>
            <w:noWrap w:val="0"/>
            <w:vAlign w:val="top"/>
          </w:tcPr>
          <w:p w14:paraId="5D6059BC">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实用新型</w:t>
            </w:r>
          </w:p>
        </w:tc>
        <w:tc>
          <w:tcPr>
            <w:tcW w:w="1501" w:type="dxa"/>
            <w:tcBorders>
              <w:tl2br w:val="nil"/>
              <w:tr2bl w:val="nil"/>
            </w:tcBorders>
            <w:noWrap w:val="0"/>
            <w:vAlign w:val="top"/>
          </w:tcPr>
          <w:p w14:paraId="35233D63">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2018-05-29</w:t>
            </w:r>
          </w:p>
        </w:tc>
      </w:tr>
      <w:tr w14:paraId="40CF78CF">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711" w:type="dxa"/>
            <w:tcBorders>
              <w:tl2br w:val="nil"/>
              <w:tr2bl w:val="nil"/>
            </w:tcBorders>
            <w:noWrap w:val="0"/>
            <w:vAlign w:val="top"/>
          </w:tcPr>
          <w:p w14:paraId="155AABA2">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31</w:t>
            </w:r>
          </w:p>
        </w:tc>
        <w:tc>
          <w:tcPr>
            <w:tcW w:w="5231" w:type="dxa"/>
            <w:tcBorders>
              <w:tl2br w:val="nil"/>
              <w:tr2bl w:val="nil"/>
            </w:tcBorders>
            <w:noWrap w:val="0"/>
            <w:vAlign w:val="top"/>
          </w:tcPr>
          <w:p w14:paraId="05346B2E">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一种便于拆卸更换的电源线插头</w:t>
            </w:r>
          </w:p>
        </w:tc>
        <w:tc>
          <w:tcPr>
            <w:tcW w:w="1415" w:type="dxa"/>
            <w:tcBorders>
              <w:tl2br w:val="nil"/>
              <w:tr2bl w:val="nil"/>
            </w:tcBorders>
            <w:noWrap w:val="0"/>
            <w:vAlign w:val="top"/>
          </w:tcPr>
          <w:p w14:paraId="71773642">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实用新型</w:t>
            </w:r>
          </w:p>
        </w:tc>
        <w:tc>
          <w:tcPr>
            <w:tcW w:w="1501" w:type="dxa"/>
            <w:tcBorders>
              <w:tl2br w:val="nil"/>
              <w:tr2bl w:val="nil"/>
            </w:tcBorders>
            <w:noWrap w:val="0"/>
            <w:vAlign w:val="top"/>
          </w:tcPr>
          <w:p w14:paraId="2244C511">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2018-05-10</w:t>
            </w:r>
          </w:p>
        </w:tc>
      </w:tr>
      <w:tr w14:paraId="2B82DDA5">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711" w:type="dxa"/>
            <w:tcBorders>
              <w:tl2br w:val="nil"/>
              <w:tr2bl w:val="nil"/>
            </w:tcBorders>
            <w:noWrap w:val="0"/>
            <w:vAlign w:val="top"/>
          </w:tcPr>
          <w:p w14:paraId="58305B70">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32</w:t>
            </w:r>
          </w:p>
        </w:tc>
        <w:tc>
          <w:tcPr>
            <w:tcW w:w="5231" w:type="dxa"/>
            <w:tcBorders>
              <w:tl2br w:val="nil"/>
              <w:tr2bl w:val="nil"/>
            </w:tcBorders>
            <w:noWrap w:val="0"/>
            <w:vAlign w:val="top"/>
          </w:tcPr>
          <w:p w14:paraId="0DFBF120">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一种电源线的放线装置</w:t>
            </w:r>
          </w:p>
        </w:tc>
        <w:tc>
          <w:tcPr>
            <w:tcW w:w="1415" w:type="dxa"/>
            <w:tcBorders>
              <w:tl2br w:val="nil"/>
              <w:tr2bl w:val="nil"/>
            </w:tcBorders>
            <w:noWrap w:val="0"/>
            <w:vAlign w:val="top"/>
          </w:tcPr>
          <w:p w14:paraId="58A67E2B">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实用新型</w:t>
            </w:r>
          </w:p>
        </w:tc>
        <w:tc>
          <w:tcPr>
            <w:tcW w:w="1501" w:type="dxa"/>
            <w:tcBorders>
              <w:tl2br w:val="nil"/>
              <w:tr2bl w:val="nil"/>
            </w:tcBorders>
            <w:noWrap w:val="0"/>
            <w:vAlign w:val="top"/>
          </w:tcPr>
          <w:p w14:paraId="647A6A4C">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2018-05-10</w:t>
            </w:r>
          </w:p>
        </w:tc>
      </w:tr>
      <w:tr w14:paraId="44A83B04">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711" w:type="dxa"/>
            <w:tcBorders>
              <w:tl2br w:val="nil"/>
              <w:tr2bl w:val="nil"/>
            </w:tcBorders>
            <w:noWrap w:val="0"/>
            <w:vAlign w:val="top"/>
          </w:tcPr>
          <w:p w14:paraId="5501A05C">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33</w:t>
            </w:r>
          </w:p>
        </w:tc>
        <w:tc>
          <w:tcPr>
            <w:tcW w:w="5231" w:type="dxa"/>
            <w:tcBorders>
              <w:tl2br w:val="nil"/>
              <w:tr2bl w:val="nil"/>
            </w:tcBorders>
            <w:noWrap w:val="0"/>
            <w:vAlign w:val="top"/>
          </w:tcPr>
          <w:p w14:paraId="769E5D3F">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一种电源线的切割装置</w:t>
            </w:r>
          </w:p>
        </w:tc>
        <w:tc>
          <w:tcPr>
            <w:tcW w:w="1415" w:type="dxa"/>
            <w:tcBorders>
              <w:tl2br w:val="nil"/>
              <w:tr2bl w:val="nil"/>
            </w:tcBorders>
            <w:noWrap w:val="0"/>
            <w:vAlign w:val="top"/>
          </w:tcPr>
          <w:p w14:paraId="7CBE2684">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实用新型</w:t>
            </w:r>
          </w:p>
        </w:tc>
        <w:tc>
          <w:tcPr>
            <w:tcW w:w="1501" w:type="dxa"/>
            <w:tcBorders>
              <w:tl2br w:val="nil"/>
              <w:tr2bl w:val="nil"/>
            </w:tcBorders>
            <w:noWrap w:val="0"/>
            <w:vAlign w:val="top"/>
          </w:tcPr>
          <w:p w14:paraId="21B142F8">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2018-05-29</w:t>
            </w:r>
          </w:p>
        </w:tc>
      </w:tr>
      <w:tr w14:paraId="28DE2958">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711" w:type="dxa"/>
            <w:tcBorders>
              <w:tl2br w:val="nil"/>
              <w:tr2bl w:val="nil"/>
            </w:tcBorders>
            <w:noWrap w:val="0"/>
            <w:vAlign w:val="top"/>
          </w:tcPr>
          <w:p w14:paraId="3B57C50B">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34</w:t>
            </w:r>
          </w:p>
        </w:tc>
        <w:tc>
          <w:tcPr>
            <w:tcW w:w="5231" w:type="dxa"/>
            <w:tcBorders>
              <w:tl2br w:val="nil"/>
              <w:tr2bl w:val="nil"/>
            </w:tcBorders>
            <w:noWrap w:val="0"/>
            <w:vAlign w:val="top"/>
          </w:tcPr>
          <w:p w14:paraId="5E347BD2">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一种可旋转的电源插头</w:t>
            </w:r>
          </w:p>
        </w:tc>
        <w:tc>
          <w:tcPr>
            <w:tcW w:w="1415" w:type="dxa"/>
            <w:tcBorders>
              <w:tl2br w:val="nil"/>
              <w:tr2bl w:val="nil"/>
            </w:tcBorders>
            <w:noWrap w:val="0"/>
            <w:vAlign w:val="top"/>
          </w:tcPr>
          <w:p w14:paraId="41DBF4AE">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实用新型</w:t>
            </w:r>
          </w:p>
        </w:tc>
        <w:tc>
          <w:tcPr>
            <w:tcW w:w="1501" w:type="dxa"/>
            <w:tcBorders>
              <w:tl2br w:val="nil"/>
              <w:tr2bl w:val="nil"/>
            </w:tcBorders>
            <w:noWrap w:val="0"/>
            <w:vAlign w:val="top"/>
          </w:tcPr>
          <w:p w14:paraId="6737447B">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2018-05-29</w:t>
            </w:r>
          </w:p>
        </w:tc>
      </w:tr>
      <w:tr w14:paraId="056FB136">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711" w:type="dxa"/>
            <w:tcBorders>
              <w:tl2br w:val="nil"/>
              <w:tr2bl w:val="nil"/>
            </w:tcBorders>
            <w:noWrap w:val="0"/>
            <w:vAlign w:val="top"/>
          </w:tcPr>
          <w:p w14:paraId="60931B92">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35</w:t>
            </w:r>
          </w:p>
        </w:tc>
        <w:tc>
          <w:tcPr>
            <w:tcW w:w="5231" w:type="dxa"/>
            <w:tcBorders>
              <w:tl2br w:val="nil"/>
              <w:tr2bl w:val="nil"/>
            </w:tcBorders>
            <w:noWrap w:val="0"/>
            <w:vAlign w:val="top"/>
          </w:tcPr>
          <w:p w14:paraId="46D8E65C">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一种具有收线装置的插头</w:t>
            </w:r>
          </w:p>
        </w:tc>
        <w:tc>
          <w:tcPr>
            <w:tcW w:w="1415" w:type="dxa"/>
            <w:tcBorders>
              <w:tl2br w:val="nil"/>
              <w:tr2bl w:val="nil"/>
            </w:tcBorders>
            <w:noWrap w:val="0"/>
            <w:vAlign w:val="top"/>
          </w:tcPr>
          <w:p w14:paraId="7791AEE1">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实用新型</w:t>
            </w:r>
          </w:p>
        </w:tc>
        <w:tc>
          <w:tcPr>
            <w:tcW w:w="1501" w:type="dxa"/>
            <w:tcBorders>
              <w:tl2br w:val="nil"/>
              <w:tr2bl w:val="nil"/>
            </w:tcBorders>
            <w:noWrap w:val="0"/>
            <w:vAlign w:val="top"/>
          </w:tcPr>
          <w:p w14:paraId="319E6E94">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2018-05-29</w:t>
            </w:r>
          </w:p>
        </w:tc>
      </w:tr>
      <w:tr w14:paraId="251ADCF4">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16" w:hRule="atLeast"/>
        </w:trPr>
        <w:tc>
          <w:tcPr>
            <w:tcW w:w="711" w:type="dxa"/>
            <w:tcBorders>
              <w:tl2br w:val="nil"/>
              <w:tr2bl w:val="nil"/>
            </w:tcBorders>
            <w:noWrap w:val="0"/>
            <w:vAlign w:val="top"/>
          </w:tcPr>
          <w:p w14:paraId="76347695">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36</w:t>
            </w:r>
          </w:p>
        </w:tc>
        <w:tc>
          <w:tcPr>
            <w:tcW w:w="5231" w:type="dxa"/>
            <w:tcBorders>
              <w:tl2br w:val="nil"/>
              <w:tr2bl w:val="nil"/>
            </w:tcBorders>
            <w:noWrap w:val="0"/>
            <w:vAlign w:val="top"/>
          </w:tcPr>
          <w:p w14:paraId="5340FE2E">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一种电源线的生产系统中的送线装置</w:t>
            </w:r>
          </w:p>
        </w:tc>
        <w:tc>
          <w:tcPr>
            <w:tcW w:w="1415" w:type="dxa"/>
            <w:tcBorders>
              <w:tl2br w:val="nil"/>
              <w:tr2bl w:val="nil"/>
            </w:tcBorders>
            <w:noWrap w:val="0"/>
            <w:vAlign w:val="top"/>
          </w:tcPr>
          <w:p w14:paraId="664EEC55">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实用新型</w:t>
            </w:r>
          </w:p>
        </w:tc>
        <w:tc>
          <w:tcPr>
            <w:tcW w:w="1501" w:type="dxa"/>
            <w:tcBorders>
              <w:tl2br w:val="nil"/>
              <w:tr2bl w:val="nil"/>
            </w:tcBorders>
            <w:noWrap w:val="0"/>
            <w:vAlign w:val="top"/>
          </w:tcPr>
          <w:p w14:paraId="39E95575">
            <w:pPr>
              <w:keepNext w:val="0"/>
              <w:keepLines w:val="0"/>
              <w:suppressLineNumbers w:val="0"/>
              <w:spacing w:before="0" w:beforeLines="0" w:beforeAutospacing="0" w:after="0" w:afterLines="0" w:afterAutospacing="0"/>
              <w:ind w:left="0" w:right="0"/>
              <w:jc w:val="left"/>
              <w:rPr>
                <w:rFonts w:hint="default" w:ascii="Arial" w:hAnsi="Arial" w:eastAsia="Î¢ÈíÑÅºÚ" w:cs="Times New Roman"/>
                <w:color w:val="000000"/>
                <w:sz w:val="20"/>
                <w:szCs w:val="24"/>
              </w:rPr>
            </w:pPr>
            <w:r>
              <w:rPr>
                <w:rFonts w:hint="default" w:ascii="Arial" w:hAnsi="Arial" w:eastAsia="Î¢ÈíÑÅºÚ" w:cs="Times New Roman"/>
                <w:color w:val="000000"/>
                <w:sz w:val="20"/>
                <w:szCs w:val="24"/>
              </w:rPr>
              <w:t>2018-05-16</w:t>
            </w:r>
          </w:p>
        </w:tc>
      </w:tr>
    </w:tbl>
    <w:p w14:paraId="151DD72F">
      <w:pPr>
        <w:pStyle w:val="11"/>
      </w:pPr>
    </w:p>
    <w:p w14:paraId="478C1654">
      <w:pPr>
        <w:ind w:firstLine="420" w:firstLineChars="200"/>
        <w:rPr>
          <w:rFonts w:ascii="宋体" w:hAnsi="宋体"/>
        </w:rPr>
      </w:pPr>
    </w:p>
    <w:bookmarkEnd w:id="8"/>
    <w:p w14:paraId="6CF491D6">
      <w:pPr>
        <w:ind w:firstLine="420" w:firstLineChars="200"/>
        <w:jc w:val="center"/>
        <w:rPr>
          <w:color w:val="FF0000"/>
        </w:rPr>
      </w:pPr>
    </w:p>
    <w:p w14:paraId="12435518">
      <w:pPr>
        <w:widowControl/>
        <w:jc w:val="left"/>
        <w:rPr>
          <w:rFonts w:ascii="宋体" w:hAnsi="宋体"/>
          <w:b/>
          <w:kern w:val="0"/>
          <w:sz w:val="24"/>
        </w:rPr>
      </w:pPr>
      <w:r>
        <w:rPr>
          <w:rFonts w:hint="eastAsia" w:ascii="宋体" w:cs="Helvetica"/>
          <w:b/>
          <w:bCs/>
          <w:color w:val="000000"/>
          <w:kern w:val="0"/>
          <w:sz w:val="24"/>
          <w:szCs w:val="24"/>
        </w:rPr>
        <w:t>(4)社会荣誉</w:t>
      </w:r>
      <w:bookmarkEnd w:id="6"/>
      <w:bookmarkEnd w:id="7"/>
    </w:p>
    <w:tbl>
      <w:tblPr>
        <w:tblStyle w:val="37"/>
        <w:tblW w:w="9356"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4"/>
        <w:gridCol w:w="2535"/>
        <w:gridCol w:w="3565"/>
        <w:gridCol w:w="1560"/>
        <w:gridCol w:w="992"/>
      </w:tblGrid>
      <w:tr w14:paraId="31F8B8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704" w:type="dxa"/>
            <w:tcBorders>
              <w:top w:val="single" w:color="auto" w:sz="12" w:space="0"/>
            </w:tcBorders>
            <w:shd w:val="clear" w:color="auto" w:fill="F2DBDB"/>
            <w:vAlign w:val="center"/>
          </w:tcPr>
          <w:p w14:paraId="5C15B8F8">
            <w:pPr>
              <w:spacing w:line="440" w:lineRule="exact"/>
              <w:rPr>
                <w:rFonts w:ascii="宋体" w:hAnsi="宋体"/>
                <w:szCs w:val="21"/>
                <w:highlight w:val="none"/>
              </w:rPr>
            </w:pPr>
            <w:bookmarkStart w:id="9" w:name="_Hlk24124534"/>
            <w:r>
              <w:rPr>
                <w:rFonts w:hint="eastAsia" w:ascii="宋体" w:hAnsi="宋体"/>
                <w:szCs w:val="21"/>
                <w:highlight w:val="none"/>
              </w:rPr>
              <w:t>序号</w:t>
            </w:r>
          </w:p>
        </w:tc>
        <w:tc>
          <w:tcPr>
            <w:tcW w:w="2535" w:type="dxa"/>
            <w:tcBorders>
              <w:top w:val="single" w:color="auto" w:sz="12" w:space="0"/>
            </w:tcBorders>
            <w:shd w:val="clear" w:color="auto" w:fill="F2DBDB"/>
            <w:vAlign w:val="center"/>
          </w:tcPr>
          <w:p w14:paraId="38C4BDC1">
            <w:pPr>
              <w:spacing w:line="440" w:lineRule="exact"/>
              <w:rPr>
                <w:rFonts w:ascii="宋体" w:hAnsi="宋体"/>
                <w:szCs w:val="21"/>
                <w:highlight w:val="none"/>
              </w:rPr>
            </w:pPr>
            <w:r>
              <w:rPr>
                <w:rFonts w:hint="eastAsia" w:ascii="宋体" w:hAnsi="宋体"/>
                <w:szCs w:val="21"/>
                <w:highlight w:val="none"/>
              </w:rPr>
              <w:t>获</w:t>
            </w:r>
            <w:r>
              <w:rPr>
                <w:rFonts w:ascii="宋体" w:hAnsi="宋体"/>
                <w:szCs w:val="21"/>
                <w:highlight w:val="none"/>
              </w:rPr>
              <w:t xml:space="preserve"> </w:t>
            </w:r>
            <w:r>
              <w:rPr>
                <w:rFonts w:hint="eastAsia" w:ascii="宋体" w:hAnsi="宋体"/>
                <w:szCs w:val="21"/>
                <w:highlight w:val="none"/>
              </w:rPr>
              <w:t>奖</w:t>
            </w:r>
            <w:r>
              <w:rPr>
                <w:rFonts w:ascii="宋体" w:hAnsi="宋体"/>
                <w:szCs w:val="21"/>
                <w:highlight w:val="none"/>
              </w:rPr>
              <w:t xml:space="preserve"> </w:t>
            </w:r>
            <w:r>
              <w:rPr>
                <w:rFonts w:hint="eastAsia" w:ascii="宋体" w:hAnsi="宋体"/>
                <w:szCs w:val="21"/>
                <w:highlight w:val="none"/>
              </w:rPr>
              <w:t>名</w:t>
            </w:r>
            <w:r>
              <w:rPr>
                <w:rFonts w:ascii="宋体" w:hAnsi="宋体"/>
                <w:szCs w:val="21"/>
                <w:highlight w:val="none"/>
              </w:rPr>
              <w:t xml:space="preserve"> </w:t>
            </w:r>
            <w:r>
              <w:rPr>
                <w:rFonts w:hint="eastAsia" w:ascii="宋体" w:hAnsi="宋体"/>
                <w:szCs w:val="21"/>
                <w:highlight w:val="none"/>
              </w:rPr>
              <w:t>称</w:t>
            </w:r>
          </w:p>
        </w:tc>
        <w:tc>
          <w:tcPr>
            <w:tcW w:w="3565" w:type="dxa"/>
            <w:tcBorders>
              <w:top w:val="single" w:color="auto" w:sz="12" w:space="0"/>
            </w:tcBorders>
            <w:shd w:val="clear" w:color="auto" w:fill="F2DBDB"/>
            <w:vAlign w:val="center"/>
          </w:tcPr>
          <w:p w14:paraId="7CBBAE7A">
            <w:pPr>
              <w:spacing w:line="440" w:lineRule="exact"/>
              <w:rPr>
                <w:rFonts w:ascii="宋体" w:hAnsi="宋体"/>
                <w:szCs w:val="21"/>
                <w:highlight w:val="none"/>
              </w:rPr>
            </w:pPr>
            <w:r>
              <w:rPr>
                <w:rFonts w:hint="eastAsia" w:ascii="宋体" w:hAnsi="宋体"/>
                <w:szCs w:val="21"/>
                <w:highlight w:val="none"/>
              </w:rPr>
              <w:t>颁</w:t>
            </w:r>
            <w:r>
              <w:rPr>
                <w:rFonts w:ascii="宋体" w:hAnsi="宋体"/>
                <w:szCs w:val="21"/>
                <w:highlight w:val="none"/>
              </w:rPr>
              <w:t xml:space="preserve"> </w:t>
            </w:r>
            <w:r>
              <w:rPr>
                <w:rFonts w:hint="eastAsia" w:ascii="宋体" w:hAnsi="宋体"/>
                <w:szCs w:val="21"/>
                <w:highlight w:val="none"/>
              </w:rPr>
              <w:t>奖</w:t>
            </w:r>
            <w:r>
              <w:rPr>
                <w:rFonts w:ascii="宋体" w:hAnsi="宋体"/>
                <w:szCs w:val="21"/>
                <w:highlight w:val="none"/>
              </w:rPr>
              <w:t xml:space="preserve"> </w:t>
            </w:r>
            <w:r>
              <w:rPr>
                <w:rFonts w:hint="eastAsia" w:ascii="宋体" w:hAnsi="宋体"/>
                <w:szCs w:val="21"/>
                <w:highlight w:val="none"/>
              </w:rPr>
              <w:t>部</w:t>
            </w:r>
            <w:r>
              <w:rPr>
                <w:rFonts w:ascii="宋体" w:hAnsi="宋体"/>
                <w:szCs w:val="21"/>
                <w:highlight w:val="none"/>
              </w:rPr>
              <w:t xml:space="preserve"> </w:t>
            </w:r>
            <w:r>
              <w:rPr>
                <w:rFonts w:hint="eastAsia" w:ascii="宋体" w:hAnsi="宋体"/>
                <w:szCs w:val="21"/>
                <w:highlight w:val="none"/>
              </w:rPr>
              <w:t>门</w:t>
            </w:r>
          </w:p>
        </w:tc>
        <w:tc>
          <w:tcPr>
            <w:tcW w:w="1560" w:type="dxa"/>
            <w:tcBorders>
              <w:top w:val="single" w:color="auto" w:sz="12" w:space="0"/>
            </w:tcBorders>
            <w:shd w:val="clear" w:color="auto" w:fill="F2DBDB"/>
            <w:vAlign w:val="center"/>
          </w:tcPr>
          <w:p w14:paraId="7DD823FA">
            <w:pPr>
              <w:spacing w:line="440" w:lineRule="exact"/>
              <w:rPr>
                <w:rFonts w:ascii="宋体" w:hAnsi="宋体"/>
                <w:szCs w:val="21"/>
                <w:highlight w:val="none"/>
              </w:rPr>
            </w:pPr>
            <w:r>
              <w:rPr>
                <w:rFonts w:hint="eastAsia" w:ascii="宋体" w:hAnsi="宋体"/>
                <w:szCs w:val="21"/>
                <w:highlight w:val="none"/>
              </w:rPr>
              <w:t>获奖时间</w:t>
            </w:r>
          </w:p>
        </w:tc>
        <w:tc>
          <w:tcPr>
            <w:tcW w:w="992" w:type="dxa"/>
            <w:tcBorders>
              <w:top w:val="single" w:color="auto" w:sz="12" w:space="0"/>
            </w:tcBorders>
            <w:shd w:val="clear" w:color="auto" w:fill="F2DBDB"/>
            <w:vAlign w:val="center"/>
          </w:tcPr>
          <w:p w14:paraId="57E43187">
            <w:pPr>
              <w:spacing w:line="440" w:lineRule="exact"/>
              <w:rPr>
                <w:rFonts w:ascii="宋体" w:hAnsi="宋体"/>
                <w:szCs w:val="21"/>
                <w:highlight w:val="none"/>
              </w:rPr>
            </w:pPr>
            <w:r>
              <w:rPr>
                <w:rFonts w:hint="eastAsia" w:ascii="宋体" w:hAnsi="宋体"/>
                <w:szCs w:val="21"/>
                <w:highlight w:val="none"/>
              </w:rPr>
              <w:t>备注</w:t>
            </w:r>
          </w:p>
        </w:tc>
      </w:tr>
      <w:tr w14:paraId="3FB773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704" w:type="dxa"/>
            <w:vAlign w:val="center"/>
          </w:tcPr>
          <w:p w14:paraId="0DE808C4">
            <w:pPr>
              <w:spacing w:line="440" w:lineRule="exact"/>
              <w:rPr>
                <w:rFonts w:ascii="宋体" w:hAnsi="宋体"/>
                <w:szCs w:val="21"/>
                <w:highlight w:val="none"/>
              </w:rPr>
            </w:pPr>
            <w:r>
              <w:rPr>
                <w:rFonts w:ascii="宋体" w:hAnsi="宋体"/>
                <w:szCs w:val="21"/>
                <w:highlight w:val="none"/>
              </w:rPr>
              <w:t>1</w:t>
            </w:r>
          </w:p>
        </w:tc>
        <w:tc>
          <w:tcPr>
            <w:tcW w:w="2535" w:type="dxa"/>
            <w:vAlign w:val="center"/>
          </w:tcPr>
          <w:p w14:paraId="21F87660">
            <w:pPr>
              <w:keepNext w:val="0"/>
              <w:keepLines w:val="0"/>
              <w:widowControl w:val="0"/>
              <w:suppressLineNumbers w:val="0"/>
              <w:autoSpaceDE w:val="0"/>
              <w:autoSpaceDN w:val="0"/>
              <w:adjustRightInd w:val="0"/>
              <w:spacing w:before="0" w:beforeLines="0" w:beforeAutospacing="0" w:after="0" w:afterLines="0" w:afterAutospacing="0"/>
              <w:ind w:left="0" w:leftChars="0" w:right="0" w:rightChars="0"/>
              <w:jc w:val="center"/>
              <w:rPr>
                <w:rFonts w:ascii="宋体" w:hAnsi="宋体"/>
                <w:szCs w:val="21"/>
                <w:highlight w:val="none"/>
              </w:rPr>
            </w:pPr>
            <w:r>
              <w:rPr>
                <w:rFonts w:hint="default" w:ascii="华文细黑" w:hAnsi="华文细黑" w:eastAsia="华文细黑" w:cs="华文细黑"/>
                <w:color w:val="000000"/>
                <w:kern w:val="2"/>
                <w:sz w:val="21"/>
                <w:szCs w:val="21"/>
                <w:lang w:val="en-US" w:eastAsia="zh-CN" w:bidi="ar"/>
              </w:rPr>
              <w:t>省级科技型中小企业</w:t>
            </w:r>
          </w:p>
        </w:tc>
        <w:tc>
          <w:tcPr>
            <w:tcW w:w="3565" w:type="dxa"/>
            <w:vAlign w:val="center"/>
          </w:tcPr>
          <w:p w14:paraId="55109CE1">
            <w:pPr>
              <w:keepNext w:val="0"/>
              <w:keepLines w:val="0"/>
              <w:widowControl w:val="0"/>
              <w:suppressLineNumbers w:val="0"/>
              <w:autoSpaceDE w:val="0"/>
              <w:autoSpaceDN w:val="0"/>
              <w:adjustRightInd w:val="0"/>
              <w:spacing w:before="0" w:beforeLines="0" w:beforeAutospacing="0" w:after="0" w:afterLines="0" w:afterAutospacing="0"/>
              <w:ind w:left="0" w:leftChars="0" w:right="0" w:rightChars="0"/>
              <w:jc w:val="center"/>
              <w:rPr>
                <w:rFonts w:ascii="宋体" w:hAnsi="宋体"/>
                <w:szCs w:val="21"/>
                <w:highlight w:val="none"/>
              </w:rPr>
            </w:pPr>
            <w:r>
              <w:rPr>
                <w:rFonts w:hint="default" w:ascii="华文细黑" w:hAnsi="华文细黑" w:eastAsia="华文细黑" w:cs="仿宋_GB2312"/>
                <w:kern w:val="2"/>
                <w:sz w:val="21"/>
                <w:szCs w:val="21"/>
                <w:lang w:val="en-US" w:eastAsia="zh-CN" w:bidi="ar"/>
              </w:rPr>
              <w:fldChar w:fldCharType="begin"/>
            </w:r>
            <w:r>
              <w:rPr>
                <w:rFonts w:hint="default" w:ascii="华文细黑" w:hAnsi="华文细黑" w:eastAsia="华文细黑" w:cs="仿宋_GB2312"/>
                <w:kern w:val="2"/>
                <w:sz w:val="21"/>
                <w:szCs w:val="21"/>
                <w:lang w:val="en-US" w:eastAsia="zh-CN" w:bidi="ar"/>
              </w:rPr>
              <w:instrText xml:space="preserve"> HYPERLINK "https://www.qcc.com/firm/gc5da8e8cc852206003bb491bb04ef05.html" </w:instrText>
            </w:r>
            <w:r>
              <w:rPr>
                <w:rFonts w:hint="default" w:ascii="华文细黑" w:hAnsi="华文细黑" w:eastAsia="华文细黑" w:cs="仿宋_GB2312"/>
                <w:kern w:val="2"/>
                <w:sz w:val="21"/>
                <w:szCs w:val="21"/>
                <w:lang w:val="en-US" w:eastAsia="zh-CN" w:bidi="ar"/>
              </w:rPr>
              <w:fldChar w:fldCharType="separate"/>
            </w:r>
            <w:r>
              <w:rPr>
                <w:rStyle w:val="40"/>
                <w:rFonts w:hint="default" w:ascii="华文细黑" w:hAnsi="华文细黑" w:eastAsia="华文细黑" w:cs="华文细黑"/>
                <w:kern w:val="2"/>
                <w:sz w:val="21"/>
                <w:szCs w:val="21"/>
              </w:rPr>
              <w:t>浙江省科学技术厅</w:t>
            </w:r>
            <w:r>
              <w:rPr>
                <w:rFonts w:hint="default" w:ascii="华文细黑" w:hAnsi="华文细黑" w:eastAsia="华文细黑" w:cs="仿宋_GB2312"/>
                <w:kern w:val="2"/>
                <w:sz w:val="21"/>
                <w:szCs w:val="21"/>
                <w:lang w:val="en-US" w:eastAsia="zh-CN" w:bidi="ar"/>
              </w:rPr>
              <w:fldChar w:fldCharType="end"/>
            </w:r>
          </w:p>
        </w:tc>
        <w:tc>
          <w:tcPr>
            <w:tcW w:w="1560" w:type="dxa"/>
            <w:vAlign w:val="center"/>
          </w:tcPr>
          <w:p w14:paraId="100CC856">
            <w:pPr>
              <w:keepNext w:val="0"/>
              <w:keepLines w:val="0"/>
              <w:suppressLineNumbers w:val="0"/>
              <w:autoSpaceDE w:val="0"/>
              <w:autoSpaceDN w:val="0"/>
              <w:adjustRightInd w:val="0"/>
              <w:spacing w:before="0" w:beforeLines="0" w:beforeAutospacing="0" w:after="0" w:afterLines="0" w:afterAutospacing="0"/>
              <w:ind w:left="0" w:leftChars="0" w:right="0" w:rightChars="0"/>
              <w:jc w:val="center"/>
              <w:rPr>
                <w:rFonts w:ascii="宋体" w:hAnsi="宋体"/>
                <w:szCs w:val="21"/>
                <w:highlight w:val="none"/>
              </w:rPr>
            </w:pPr>
          </w:p>
        </w:tc>
        <w:tc>
          <w:tcPr>
            <w:tcW w:w="992" w:type="dxa"/>
            <w:vAlign w:val="center"/>
          </w:tcPr>
          <w:p w14:paraId="64542D34">
            <w:pPr>
              <w:spacing w:line="440" w:lineRule="exact"/>
              <w:rPr>
                <w:rFonts w:ascii="宋体" w:hAnsi="宋体"/>
                <w:szCs w:val="21"/>
                <w:highlight w:val="none"/>
              </w:rPr>
            </w:pPr>
          </w:p>
        </w:tc>
      </w:tr>
      <w:tr w14:paraId="514390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704" w:type="dxa"/>
            <w:vAlign w:val="center"/>
          </w:tcPr>
          <w:p w14:paraId="45C16986">
            <w:pPr>
              <w:spacing w:line="440" w:lineRule="exact"/>
              <w:rPr>
                <w:rFonts w:ascii="宋体" w:hAnsi="宋体"/>
                <w:szCs w:val="21"/>
                <w:highlight w:val="none"/>
              </w:rPr>
            </w:pPr>
            <w:r>
              <w:rPr>
                <w:rFonts w:ascii="宋体" w:hAnsi="宋体"/>
                <w:szCs w:val="21"/>
                <w:highlight w:val="none"/>
              </w:rPr>
              <w:t>2</w:t>
            </w:r>
          </w:p>
        </w:tc>
        <w:tc>
          <w:tcPr>
            <w:tcW w:w="2535" w:type="dxa"/>
            <w:vAlign w:val="center"/>
          </w:tcPr>
          <w:p w14:paraId="31CE569B">
            <w:pPr>
              <w:keepNext w:val="0"/>
              <w:keepLines w:val="0"/>
              <w:suppressLineNumbers w:val="0"/>
              <w:autoSpaceDE w:val="0"/>
              <w:autoSpaceDN w:val="0"/>
              <w:adjustRightInd w:val="0"/>
              <w:spacing w:before="0" w:beforeLines="0" w:beforeAutospacing="0" w:after="0" w:afterLines="0" w:afterAutospacing="0"/>
              <w:ind w:left="0" w:leftChars="0" w:right="0" w:rightChars="0"/>
              <w:jc w:val="center"/>
              <w:rPr>
                <w:rFonts w:ascii="宋体" w:hAnsi="宋体"/>
                <w:szCs w:val="21"/>
                <w:highlight w:val="none"/>
              </w:rPr>
            </w:pPr>
            <w:r>
              <w:rPr>
                <w:rFonts w:hint="eastAsia" w:ascii="华文细黑" w:hAnsi="华文细黑" w:eastAsia="华文细黑"/>
                <w:color w:val="000000"/>
                <w:sz w:val="21"/>
                <w:szCs w:val="24"/>
                <w:lang w:val="en-US" w:eastAsia="zh-CN"/>
              </w:rPr>
              <w:t>国家</w:t>
            </w:r>
            <w:r>
              <w:rPr>
                <w:rFonts w:hint="eastAsia" w:ascii="华文细黑" w:hAnsi="华文细黑" w:eastAsia="华文细黑"/>
                <w:color w:val="000000"/>
                <w:sz w:val="21"/>
                <w:szCs w:val="24"/>
              </w:rPr>
              <w:t>高新</w:t>
            </w:r>
            <w:r>
              <w:rPr>
                <w:rFonts w:hint="eastAsia" w:ascii="华文细黑" w:hAnsi="华文细黑" w:eastAsia="华文细黑"/>
                <w:color w:val="000000"/>
                <w:sz w:val="21"/>
                <w:szCs w:val="24"/>
                <w:lang w:val="en-US" w:eastAsia="zh-CN"/>
              </w:rPr>
              <w:t>技术</w:t>
            </w:r>
            <w:r>
              <w:rPr>
                <w:rFonts w:hint="eastAsia" w:ascii="华文细黑" w:hAnsi="华文细黑" w:eastAsia="华文细黑"/>
                <w:color w:val="000000"/>
                <w:sz w:val="21"/>
                <w:szCs w:val="24"/>
              </w:rPr>
              <w:t>企业</w:t>
            </w:r>
          </w:p>
        </w:tc>
        <w:tc>
          <w:tcPr>
            <w:tcW w:w="3565" w:type="dxa"/>
            <w:vAlign w:val="center"/>
          </w:tcPr>
          <w:tbl>
            <w:tblPr>
              <w:tblStyle w:val="37"/>
              <w:tblW w:w="17820"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7820"/>
            </w:tblGrid>
            <w:tr w14:paraId="7B9D8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7820" w:type="dxa"/>
                  <w:tcBorders>
                    <w:top w:val="single" w:color="E4EEF6" w:sz="6" w:space="0"/>
                    <w:left w:val="single" w:color="E4EEF6" w:sz="6" w:space="0"/>
                    <w:bottom w:val="single" w:color="E4EEF6" w:sz="6" w:space="0"/>
                    <w:right w:val="single" w:color="E4EEF6" w:sz="6" w:space="0"/>
                  </w:tcBorders>
                  <w:shd w:val="clear" w:color="auto" w:fill="FFFFFF"/>
                  <w:noWrap w:val="0"/>
                  <w:tcMar>
                    <w:top w:w="150" w:type="dxa"/>
                    <w:left w:w="150" w:type="dxa"/>
                    <w:bottom w:w="165" w:type="dxa"/>
                    <w:right w:w="150" w:type="dxa"/>
                  </w:tcMar>
                  <w:vAlign w:val="center"/>
                </w:tcPr>
                <w:p w14:paraId="0DB8AA97">
                  <w:pPr>
                    <w:keepNext w:val="0"/>
                    <w:keepLines w:val="0"/>
                    <w:widowControl/>
                    <w:suppressLineNumbers w:val="0"/>
                    <w:wordWrap w:val="0"/>
                    <w:spacing w:before="0" w:beforeAutospacing="0" w:after="0" w:afterAutospacing="0" w:line="24" w:lineRule="atLeast"/>
                    <w:ind w:left="0" w:right="0"/>
                    <w:jc w:val="both"/>
                    <w:rPr>
                      <w:rFonts w:hint="eastAsia" w:ascii="华文细黑" w:hAnsi="华文细黑" w:eastAsia="华文细黑" w:cs="Times New Roman"/>
                      <w:color w:val="000000"/>
                      <w:sz w:val="21"/>
                      <w:szCs w:val="24"/>
                      <w:lang w:val="en-US" w:eastAsia="zh-CN"/>
                    </w:rPr>
                  </w:pPr>
                  <w:r>
                    <w:rPr>
                      <w:rFonts w:hint="eastAsia" w:ascii="华文细黑" w:hAnsi="华文细黑" w:eastAsia="华文细黑" w:cs="Times New Roman"/>
                      <w:color w:val="000000"/>
                      <w:sz w:val="21"/>
                      <w:szCs w:val="24"/>
                      <w:lang w:val="en-US" w:eastAsia="zh-CN"/>
                    </w:rPr>
                    <w:t>全国高新技术企业认定</w:t>
                  </w:r>
                </w:p>
                <w:p w14:paraId="20A4727A">
                  <w:pPr>
                    <w:keepNext w:val="0"/>
                    <w:keepLines w:val="0"/>
                    <w:widowControl/>
                    <w:suppressLineNumbers w:val="0"/>
                    <w:wordWrap w:val="0"/>
                    <w:spacing w:before="0" w:beforeAutospacing="0" w:after="0" w:afterAutospacing="0" w:line="24" w:lineRule="atLeast"/>
                    <w:ind w:left="0" w:right="0"/>
                    <w:jc w:val="both"/>
                    <w:rPr>
                      <w:rFonts w:hint="default" w:ascii="微软雅黑" w:hAnsi="微软雅黑" w:eastAsia="微软雅黑" w:cs="微软雅黑"/>
                      <w:i w:val="0"/>
                      <w:iCs w:val="0"/>
                      <w:caps w:val="0"/>
                      <w:color w:val="333333"/>
                      <w:spacing w:val="0"/>
                      <w:sz w:val="21"/>
                      <w:szCs w:val="21"/>
                    </w:rPr>
                  </w:pPr>
                  <w:r>
                    <w:rPr>
                      <w:rFonts w:hint="eastAsia" w:ascii="华文细黑" w:hAnsi="华文细黑" w:eastAsia="华文细黑" w:cs="Times New Roman"/>
                      <w:color w:val="000000"/>
                      <w:sz w:val="21"/>
                      <w:szCs w:val="24"/>
                      <w:lang w:val="en-US" w:eastAsia="zh-CN"/>
                    </w:rPr>
                    <w:t>管理工作领</w:t>
                  </w:r>
                  <w:r>
                    <w:rPr>
                      <w:rFonts w:hint="eastAsia" w:ascii="微软雅黑" w:hAnsi="微软雅黑" w:eastAsia="微软雅黑" w:cs="微软雅黑"/>
                      <w:i w:val="0"/>
                      <w:iCs w:val="0"/>
                      <w:caps w:val="0"/>
                      <w:color w:val="333333"/>
                      <w:spacing w:val="0"/>
                      <w:kern w:val="0"/>
                      <w:sz w:val="21"/>
                      <w:szCs w:val="21"/>
                      <w:lang w:val="en-US" w:eastAsia="zh-CN" w:bidi="ar"/>
                    </w:rPr>
                    <w:t>导小组办公室</w:t>
                  </w:r>
                </w:p>
              </w:tc>
            </w:tr>
          </w:tbl>
          <w:p w14:paraId="728AA79A">
            <w:pPr>
              <w:keepNext w:val="0"/>
              <w:keepLines w:val="0"/>
              <w:suppressLineNumbers w:val="0"/>
              <w:autoSpaceDE w:val="0"/>
              <w:autoSpaceDN w:val="0"/>
              <w:adjustRightInd w:val="0"/>
              <w:spacing w:before="0" w:beforeLines="0" w:beforeAutospacing="0" w:after="0" w:afterLines="0" w:afterAutospacing="0"/>
              <w:ind w:left="0" w:leftChars="0" w:right="0" w:rightChars="0"/>
              <w:rPr>
                <w:rFonts w:ascii="宋体" w:hAnsi="宋体"/>
                <w:szCs w:val="21"/>
                <w:highlight w:val="none"/>
              </w:rPr>
            </w:pPr>
          </w:p>
        </w:tc>
        <w:tc>
          <w:tcPr>
            <w:tcW w:w="1560" w:type="dxa"/>
            <w:vAlign w:val="center"/>
          </w:tcPr>
          <w:p w14:paraId="0757DCDC">
            <w:pPr>
              <w:keepNext w:val="0"/>
              <w:keepLines w:val="0"/>
              <w:suppressLineNumbers w:val="0"/>
              <w:autoSpaceDE w:val="0"/>
              <w:autoSpaceDN w:val="0"/>
              <w:adjustRightInd w:val="0"/>
              <w:spacing w:before="0" w:beforeLines="0" w:beforeAutospacing="0" w:after="0" w:afterLines="0" w:afterAutospacing="0"/>
              <w:ind w:left="0" w:leftChars="0" w:right="0" w:rightChars="0"/>
              <w:jc w:val="center"/>
              <w:rPr>
                <w:rFonts w:ascii="宋体" w:hAnsi="宋体"/>
                <w:szCs w:val="21"/>
                <w:highlight w:val="none"/>
              </w:rPr>
            </w:pPr>
            <w:r>
              <w:rPr>
                <w:rFonts w:hint="eastAsia" w:ascii="华文细黑" w:hAnsi="华文细黑" w:eastAsia="华文细黑"/>
                <w:color w:val="000000"/>
                <w:sz w:val="21"/>
                <w:szCs w:val="24"/>
              </w:rPr>
              <w:t>2023-01-17</w:t>
            </w:r>
          </w:p>
        </w:tc>
        <w:tc>
          <w:tcPr>
            <w:tcW w:w="992" w:type="dxa"/>
            <w:vAlign w:val="center"/>
          </w:tcPr>
          <w:p w14:paraId="283A14C3">
            <w:pPr>
              <w:spacing w:line="440" w:lineRule="exact"/>
              <w:rPr>
                <w:rFonts w:ascii="宋体" w:hAnsi="宋体"/>
                <w:szCs w:val="21"/>
                <w:highlight w:val="none"/>
              </w:rPr>
            </w:pPr>
          </w:p>
        </w:tc>
      </w:tr>
      <w:tr w14:paraId="64F8BB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704" w:type="dxa"/>
            <w:vAlign w:val="center"/>
          </w:tcPr>
          <w:p w14:paraId="5C1DD29D">
            <w:pPr>
              <w:spacing w:line="440" w:lineRule="exact"/>
              <w:rPr>
                <w:rFonts w:hint="eastAsia" w:ascii="宋体" w:hAnsi="宋体" w:eastAsia="宋体"/>
                <w:szCs w:val="21"/>
                <w:highlight w:val="none"/>
                <w:lang w:val="en-US" w:eastAsia="zh-CN"/>
              </w:rPr>
            </w:pPr>
            <w:r>
              <w:rPr>
                <w:rFonts w:hint="eastAsia" w:ascii="宋体" w:hAnsi="宋体"/>
                <w:szCs w:val="21"/>
                <w:highlight w:val="none"/>
                <w:lang w:val="en-US" w:eastAsia="zh-CN"/>
              </w:rPr>
              <w:t>3</w:t>
            </w:r>
          </w:p>
        </w:tc>
        <w:tc>
          <w:tcPr>
            <w:tcW w:w="2535" w:type="dxa"/>
            <w:vAlign w:val="center"/>
          </w:tcPr>
          <w:p w14:paraId="76CF33CD">
            <w:pPr>
              <w:keepNext w:val="0"/>
              <w:keepLines w:val="0"/>
              <w:suppressLineNumbers w:val="0"/>
              <w:autoSpaceDE w:val="0"/>
              <w:autoSpaceDN w:val="0"/>
              <w:adjustRightInd w:val="0"/>
              <w:spacing w:before="0" w:beforeLines="0" w:beforeAutospacing="0" w:after="0" w:afterLines="0" w:afterAutospacing="0"/>
              <w:ind w:left="0" w:leftChars="0" w:right="0" w:rightChars="0"/>
              <w:jc w:val="center"/>
              <w:rPr>
                <w:rFonts w:hint="eastAsia" w:ascii="华文细黑" w:hAnsi="华文细黑" w:eastAsia="华文细黑"/>
                <w:color w:val="000000"/>
                <w:sz w:val="21"/>
                <w:szCs w:val="24"/>
                <w:highlight w:val="none"/>
              </w:rPr>
            </w:pPr>
            <w:r>
              <w:rPr>
                <w:rFonts w:hint="eastAsia" w:ascii="华文细黑" w:hAnsi="华文细黑" w:eastAsia="华文细黑"/>
                <w:color w:val="000000"/>
                <w:sz w:val="21"/>
                <w:szCs w:val="24"/>
                <w:lang w:val="en-US" w:eastAsia="zh-CN"/>
              </w:rPr>
              <w:t>省级创新型中小企业</w:t>
            </w:r>
          </w:p>
        </w:tc>
        <w:tc>
          <w:tcPr>
            <w:tcW w:w="3565" w:type="dxa"/>
            <w:vAlign w:val="center"/>
          </w:tcPr>
          <w:p w14:paraId="63E3566D">
            <w:pPr>
              <w:keepNext w:val="0"/>
              <w:keepLines w:val="0"/>
              <w:suppressLineNumbers w:val="0"/>
              <w:autoSpaceDE w:val="0"/>
              <w:autoSpaceDN w:val="0"/>
              <w:adjustRightInd w:val="0"/>
              <w:spacing w:before="0" w:beforeLines="0" w:beforeAutospacing="0" w:after="0" w:afterLines="0" w:afterAutospacing="0"/>
              <w:ind w:left="0" w:leftChars="0" w:right="0" w:rightChars="0"/>
              <w:jc w:val="center"/>
              <w:rPr>
                <w:rFonts w:ascii="宋体" w:hAnsi="宋体"/>
                <w:szCs w:val="21"/>
                <w:highlight w:val="none"/>
              </w:rPr>
            </w:pPr>
            <w:r>
              <w:rPr>
                <w:rFonts w:hint="eastAsia" w:ascii="华文细黑" w:hAnsi="华文细黑" w:eastAsia="华文细黑" w:cs="仿宋_GB2312"/>
                <w:color w:val="000000"/>
                <w:sz w:val="21"/>
                <w:szCs w:val="21"/>
              </w:rPr>
              <w:t>浙江省经济和信息化厅</w:t>
            </w:r>
          </w:p>
        </w:tc>
        <w:tc>
          <w:tcPr>
            <w:tcW w:w="1560" w:type="dxa"/>
            <w:vAlign w:val="center"/>
          </w:tcPr>
          <w:p w14:paraId="62637DF3">
            <w:pPr>
              <w:keepNext w:val="0"/>
              <w:keepLines w:val="0"/>
              <w:suppressLineNumbers w:val="0"/>
              <w:autoSpaceDE w:val="0"/>
              <w:autoSpaceDN w:val="0"/>
              <w:adjustRightInd w:val="0"/>
              <w:spacing w:before="0" w:beforeLines="0" w:beforeAutospacing="0" w:after="0" w:afterLines="0" w:afterAutospacing="0"/>
              <w:ind w:left="0" w:leftChars="0" w:right="0" w:rightChars="0"/>
              <w:jc w:val="center"/>
              <w:rPr>
                <w:rFonts w:ascii="宋体" w:hAnsi="宋体"/>
                <w:szCs w:val="21"/>
                <w:highlight w:val="none"/>
              </w:rPr>
            </w:pPr>
            <w:r>
              <w:rPr>
                <w:rFonts w:hint="eastAsia" w:ascii="华文细黑" w:hAnsi="华文细黑" w:eastAsia="华文细黑" w:cs="仿宋_GB2312"/>
                <w:color w:val="000000"/>
                <w:sz w:val="21"/>
                <w:szCs w:val="21"/>
              </w:rPr>
              <w:t>2023-10-26</w:t>
            </w:r>
          </w:p>
        </w:tc>
        <w:tc>
          <w:tcPr>
            <w:tcW w:w="992" w:type="dxa"/>
            <w:vAlign w:val="center"/>
          </w:tcPr>
          <w:p w14:paraId="6292A47E">
            <w:pPr>
              <w:spacing w:line="440" w:lineRule="exact"/>
              <w:rPr>
                <w:rFonts w:ascii="宋体" w:hAnsi="宋体"/>
                <w:szCs w:val="21"/>
                <w:highlight w:val="none"/>
              </w:rPr>
            </w:pPr>
          </w:p>
        </w:tc>
      </w:tr>
      <w:tr w14:paraId="529D46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704" w:type="dxa"/>
            <w:vAlign w:val="center"/>
          </w:tcPr>
          <w:p w14:paraId="79C17ADD">
            <w:pPr>
              <w:spacing w:line="440" w:lineRule="exact"/>
              <w:rPr>
                <w:rFonts w:hint="eastAsia" w:ascii="宋体" w:hAnsi="宋体" w:eastAsia="宋体"/>
                <w:szCs w:val="21"/>
                <w:highlight w:val="none"/>
                <w:lang w:val="en-US" w:eastAsia="zh-CN"/>
              </w:rPr>
            </w:pPr>
            <w:r>
              <w:rPr>
                <w:rFonts w:hint="eastAsia" w:ascii="宋体" w:hAnsi="宋体"/>
                <w:szCs w:val="21"/>
                <w:highlight w:val="none"/>
                <w:lang w:val="en-US" w:eastAsia="zh-CN"/>
              </w:rPr>
              <w:t>4</w:t>
            </w:r>
          </w:p>
        </w:tc>
        <w:tc>
          <w:tcPr>
            <w:tcW w:w="2535" w:type="dxa"/>
            <w:vAlign w:val="center"/>
          </w:tcPr>
          <w:p w14:paraId="2051E1C6">
            <w:pPr>
              <w:keepNext w:val="0"/>
              <w:keepLines w:val="0"/>
              <w:suppressLineNumbers w:val="0"/>
              <w:autoSpaceDE w:val="0"/>
              <w:autoSpaceDN w:val="0"/>
              <w:adjustRightInd w:val="0"/>
              <w:spacing w:before="0" w:beforeLines="0" w:beforeAutospacing="0" w:after="0" w:afterLines="0" w:afterAutospacing="0"/>
              <w:ind w:left="0" w:leftChars="0" w:right="0" w:rightChars="0"/>
              <w:jc w:val="center"/>
              <w:rPr>
                <w:rFonts w:hint="eastAsia" w:ascii="华文细黑" w:hAnsi="华文细黑" w:eastAsia="华文细黑"/>
                <w:color w:val="000000"/>
                <w:sz w:val="21"/>
                <w:szCs w:val="24"/>
                <w:highlight w:val="none"/>
              </w:rPr>
            </w:pPr>
            <w:r>
              <w:rPr>
                <w:rFonts w:hint="eastAsia" w:ascii="华文细黑" w:hAnsi="华文细黑" w:eastAsia="华文细黑"/>
                <w:color w:val="000000"/>
                <w:sz w:val="21"/>
                <w:szCs w:val="24"/>
                <w:lang w:val="en-US" w:eastAsia="zh-CN"/>
              </w:rPr>
              <w:t>国家</w:t>
            </w:r>
            <w:r>
              <w:rPr>
                <w:rFonts w:hint="eastAsia" w:ascii="华文细黑" w:hAnsi="华文细黑" w:eastAsia="华文细黑"/>
                <w:color w:val="000000"/>
                <w:sz w:val="21"/>
                <w:szCs w:val="24"/>
              </w:rPr>
              <w:t>级科技型中小企业</w:t>
            </w:r>
          </w:p>
        </w:tc>
        <w:tc>
          <w:tcPr>
            <w:tcW w:w="3565" w:type="dxa"/>
            <w:vAlign w:val="center"/>
          </w:tcPr>
          <w:p w14:paraId="6243546F">
            <w:pPr>
              <w:keepNext w:val="0"/>
              <w:keepLines w:val="0"/>
              <w:suppressLineNumbers w:val="0"/>
              <w:autoSpaceDE w:val="0"/>
              <w:autoSpaceDN w:val="0"/>
              <w:adjustRightInd w:val="0"/>
              <w:spacing w:before="0" w:beforeLines="0" w:beforeAutospacing="0" w:after="0" w:afterLines="0" w:afterAutospacing="0"/>
              <w:ind w:left="0" w:leftChars="0" w:right="0" w:rightChars="0"/>
              <w:jc w:val="center"/>
              <w:rPr>
                <w:rFonts w:ascii="宋体" w:hAnsi="宋体"/>
                <w:szCs w:val="21"/>
                <w:highlight w:val="none"/>
              </w:rPr>
            </w:pPr>
            <w:r>
              <w:rPr>
                <w:rFonts w:hint="eastAsia" w:ascii="华文细黑" w:hAnsi="华文细黑" w:eastAsia="华文细黑" w:cs="仿宋_GB2312"/>
                <w:color w:val="000000"/>
                <w:sz w:val="21"/>
                <w:szCs w:val="21"/>
              </w:rPr>
              <w:t>浙江省科学技术厅</w:t>
            </w:r>
          </w:p>
        </w:tc>
        <w:tc>
          <w:tcPr>
            <w:tcW w:w="1560" w:type="dxa"/>
            <w:vAlign w:val="center"/>
          </w:tcPr>
          <w:p w14:paraId="2303F70B">
            <w:pPr>
              <w:keepNext w:val="0"/>
              <w:keepLines w:val="0"/>
              <w:suppressLineNumbers w:val="0"/>
              <w:autoSpaceDE w:val="0"/>
              <w:autoSpaceDN w:val="0"/>
              <w:adjustRightInd w:val="0"/>
              <w:spacing w:before="0" w:beforeLines="0" w:beforeAutospacing="0" w:after="0" w:afterLines="0" w:afterAutospacing="0"/>
              <w:ind w:left="0" w:leftChars="0" w:right="0" w:rightChars="0"/>
              <w:jc w:val="center"/>
              <w:rPr>
                <w:rFonts w:ascii="宋体" w:hAnsi="宋体"/>
                <w:szCs w:val="21"/>
                <w:highlight w:val="none"/>
              </w:rPr>
            </w:pPr>
            <w:r>
              <w:rPr>
                <w:rFonts w:hint="eastAsia" w:ascii="华文细黑" w:hAnsi="华文细黑" w:eastAsia="华文细黑" w:cs="仿宋_GB2312"/>
                <w:color w:val="000000"/>
                <w:sz w:val="21"/>
                <w:szCs w:val="21"/>
              </w:rPr>
              <w:t>2024-09-02</w:t>
            </w:r>
            <w:r>
              <w:rPr>
                <w:rFonts w:hint="eastAsia" w:ascii="华文细黑" w:hAnsi="华文细黑" w:eastAsia="华文细黑" w:cs="仿宋_GB2312"/>
                <w:color w:val="000000"/>
                <w:sz w:val="21"/>
                <w:szCs w:val="21"/>
              </w:rPr>
              <w:tab/>
            </w:r>
          </w:p>
        </w:tc>
        <w:tc>
          <w:tcPr>
            <w:tcW w:w="992" w:type="dxa"/>
            <w:vAlign w:val="center"/>
          </w:tcPr>
          <w:p w14:paraId="6945EE8A">
            <w:pPr>
              <w:spacing w:line="440" w:lineRule="exact"/>
              <w:rPr>
                <w:rFonts w:ascii="宋体" w:hAnsi="宋体"/>
                <w:szCs w:val="21"/>
                <w:highlight w:val="none"/>
              </w:rPr>
            </w:pPr>
          </w:p>
        </w:tc>
      </w:tr>
      <w:bookmarkEnd w:id="9"/>
    </w:tbl>
    <w:p w14:paraId="51A46479">
      <w:pPr>
        <w:widowControl/>
        <w:shd w:val="clear" w:color="auto" w:fill="FFFFFF"/>
        <w:spacing w:line="276" w:lineRule="auto"/>
        <w:jc w:val="left"/>
        <w:outlineLvl w:val="1"/>
        <w:rPr>
          <w:rFonts w:ascii="宋体" w:cs="Helvetica"/>
          <w:b/>
          <w:bCs/>
          <w:color w:val="000000"/>
          <w:kern w:val="0"/>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Helvetica-Narrow">
    <w:altName w:val="Arial"/>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amp;quot">
    <w:altName w:val="Times New Roman"/>
    <w:panose1 w:val="00000000000000000000"/>
    <w:charset w:val="00"/>
    <w:family w:val="roman"/>
    <w:pitch w:val="default"/>
    <w:sig w:usb0="00000000" w:usb1="00000000" w:usb2="00000000" w:usb3="00000000" w:csb0="00000000" w:csb1="00000000"/>
  </w:font>
  <w:font w:name="Î¢ÈíÑÅºÚ">
    <w:altName w:val="Segoe Print"/>
    <w:panose1 w:val="00000000000000000000"/>
    <w:charset w:val="00"/>
    <w:family w:val="auto"/>
    <w:pitch w:val="default"/>
    <w:sig w:usb0="00000000" w:usb1="00000000" w:usb2="00000000" w:usb3="00000000" w:csb0="00000001" w:csb1="00000000"/>
  </w:font>
  <w:font w:name="ksdb">
    <w:altName w:val="Sitka Text"/>
    <w:panose1 w:val="02000500000000000000"/>
    <w:charset w:val="00"/>
    <w:family w:val="auto"/>
    <w:pitch w:val="default"/>
    <w:sig w:usb0="00000000" w:usb1="00000000" w:usb2="00000000" w:usb3="00000000" w:csb0="00000001" w:csb1="00000000"/>
  </w:font>
  <w:font w:name="Helvetica">
    <w:altName w:val="Arial"/>
    <w:panose1 w:val="020B0504020202020204"/>
    <w:charset w:val="00"/>
    <w:family w:val="swiss"/>
    <w:pitch w:val="default"/>
    <w:sig w:usb0="00000000" w:usb1="00000000" w:usb2="00000009" w:usb3="00000000" w:csb0="000001FF"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333C7C"/>
    <w:multiLevelType w:val="multilevel"/>
    <w:tmpl w:val="0F333C7C"/>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59B5F14"/>
    <w:multiLevelType w:val="multilevel"/>
    <w:tmpl w:val="559B5F14"/>
    <w:lvl w:ilvl="0" w:tentative="0">
      <w:start w:val="1"/>
      <w:numFmt w:val="decimal"/>
      <w:lvlText w:val="%1、"/>
      <w:lvlJc w:val="left"/>
      <w:pPr>
        <w:tabs>
          <w:tab w:val="left" w:pos="0"/>
        </w:tabs>
        <w:ind w:left="360" w:hanging="360"/>
      </w:pPr>
      <w:rPr>
        <w:rFonts w:hint="default" w:ascii="Calibri" w:hAnsi="Calibri" w:cs="Calibri"/>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jM2ZjNzFkNmU2MmVjNDVmZWRjY2RhZTIzMDYzODgifQ=="/>
  </w:docVars>
  <w:rsids>
    <w:rsidRoot w:val="00172A27"/>
    <w:rsid w:val="00034360"/>
    <w:rsid w:val="000667A9"/>
    <w:rsid w:val="00090F96"/>
    <w:rsid w:val="000E6362"/>
    <w:rsid w:val="0010421B"/>
    <w:rsid w:val="00133C7E"/>
    <w:rsid w:val="00140926"/>
    <w:rsid w:val="001462DE"/>
    <w:rsid w:val="0015365E"/>
    <w:rsid w:val="002933BB"/>
    <w:rsid w:val="002A55E8"/>
    <w:rsid w:val="00345798"/>
    <w:rsid w:val="003A68E2"/>
    <w:rsid w:val="003A7DD9"/>
    <w:rsid w:val="00440F20"/>
    <w:rsid w:val="004E538D"/>
    <w:rsid w:val="004F5809"/>
    <w:rsid w:val="005C1BA4"/>
    <w:rsid w:val="005C37F6"/>
    <w:rsid w:val="00815E25"/>
    <w:rsid w:val="0088716A"/>
    <w:rsid w:val="008B736A"/>
    <w:rsid w:val="008C7D4A"/>
    <w:rsid w:val="00941AFE"/>
    <w:rsid w:val="00A172EF"/>
    <w:rsid w:val="00A41714"/>
    <w:rsid w:val="00A809A9"/>
    <w:rsid w:val="00BD0119"/>
    <w:rsid w:val="00C44CDE"/>
    <w:rsid w:val="00C64126"/>
    <w:rsid w:val="00CA19FF"/>
    <w:rsid w:val="00D654A8"/>
    <w:rsid w:val="00EE1817"/>
    <w:rsid w:val="00F30982"/>
    <w:rsid w:val="00FC2CB1"/>
    <w:rsid w:val="0ABF00AF"/>
    <w:rsid w:val="0B9F0942"/>
    <w:rsid w:val="19002060"/>
    <w:rsid w:val="44D515C0"/>
    <w:rsid w:val="48B621B4"/>
    <w:rsid w:val="4F1B2715"/>
    <w:rsid w:val="6B005EF8"/>
    <w:rsid w:val="7C8C3EB0"/>
    <w:rsid w:val="7D2D6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qFormat="1" w:unhideWhenUsed="0" w:uiPriority="0"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Calibri Light" w:hAnsi="Calibri Light" w:cs="Times New Roman"/>
      <w:b/>
      <w:bCs/>
      <w:sz w:val="32"/>
      <w:szCs w:val="32"/>
    </w:rPr>
  </w:style>
  <w:style w:type="paragraph" w:styleId="4">
    <w:name w:val="heading 3"/>
    <w:basedOn w:val="1"/>
    <w:next w:val="1"/>
    <w:qFormat/>
    <w:uiPriority w:val="0"/>
    <w:pPr>
      <w:keepNext/>
      <w:keepLines/>
      <w:spacing w:before="60" w:after="60"/>
      <w:outlineLvl w:val="2"/>
    </w:pPr>
    <w:rPr>
      <w:rFonts w:cs="Times New Roman"/>
      <w:b/>
      <w:bCs/>
      <w:szCs w:val="32"/>
    </w:rPr>
  </w:style>
  <w:style w:type="paragraph" w:styleId="5">
    <w:name w:val="heading 4"/>
    <w:basedOn w:val="1"/>
    <w:next w:val="1"/>
    <w:qFormat/>
    <w:uiPriority w:val="0"/>
    <w:pPr>
      <w:keepNext/>
      <w:keepLines/>
      <w:spacing w:before="60" w:after="60"/>
      <w:outlineLvl w:val="3"/>
    </w:pPr>
    <w:rPr>
      <w:rFonts w:ascii="Cambria" w:hAnsi="Cambria" w:cs="Times New Roman"/>
      <w:b/>
      <w:bCs/>
      <w:szCs w:val="28"/>
    </w:rPr>
  </w:style>
  <w:style w:type="paragraph" w:styleId="6">
    <w:name w:val="heading 5"/>
    <w:basedOn w:val="1"/>
    <w:next w:val="1"/>
    <w:qFormat/>
    <w:uiPriority w:val="0"/>
    <w:pPr>
      <w:keepNext/>
      <w:keepLines/>
      <w:spacing w:before="60" w:after="60"/>
      <w:outlineLvl w:val="4"/>
    </w:pPr>
    <w:rPr>
      <w:rFonts w:cs="Times New Roman"/>
      <w:b/>
      <w:bCs/>
      <w:szCs w:val="28"/>
    </w:rPr>
  </w:style>
  <w:style w:type="paragraph" w:styleId="7">
    <w:name w:val="heading 6"/>
    <w:basedOn w:val="1"/>
    <w:next w:val="1"/>
    <w:qFormat/>
    <w:uiPriority w:val="0"/>
    <w:pPr>
      <w:keepNext/>
      <w:keepLines/>
      <w:widowControl/>
      <w:spacing w:before="60" w:after="60"/>
      <w:jc w:val="left"/>
      <w:outlineLvl w:val="5"/>
    </w:pPr>
    <w:rPr>
      <w:rFonts w:ascii="Calibri Light" w:hAnsi="Calibri Light" w:cs="Times New Roman"/>
      <w:b/>
      <w:bCs/>
      <w:kern w:val="0"/>
      <w:szCs w:val="24"/>
    </w:rPr>
  </w:style>
  <w:style w:type="paragraph" w:styleId="8">
    <w:name w:val="heading 7"/>
    <w:basedOn w:val="1"/>
    <w:next w:val="1"/>
    <w:qFormat/>
    <w:uiPriority w:val="0"/>
    <w:pPr>
      <w:keepNext/>
      <w:keepLines/>
      <w:widowControl/>
      <w:spacing w:before="240" w:after="64" w:line="319" w:lineRule="auto"/>
      <w:jc w:val="left"/>
      <w:outlineLvl w:val="6"/>
    </w:pPr>
    <w:rPr>
      <w:rFonts w:ascii="宋体" w:cs="宋体"/>
      <w:b/>
      <w:bCs/>
      <w:kern w:val="0"/>
      <w:sz w:val="24"/>
      <w:szCs w:val="24"/>
    </w:rPr>
  </w:style>
  <w:style w:type="character" w:default="1" w:styleId="38">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qFormat/>
    <w:uiPriority w:val="0"/>
    <w:pPr>
      <w:ind w:left="1200" w:leftChars="1200"/>
    </w:pPr>
  </w:style>
  <w:style w:type="paragraph" w:styleId="10">
    <w:name w:val="Note Heading"/>
    <w:basedOn w:val="1"/>
    <w:next w:val="1"/>
    <w:qFormat/>
    <w:uiPriority w:val="0"/>
    <w:pPr>
      <w:jc w:val="center"/>
    </w:pPr>
    <w:rPr>
      <w:rFonts w:ascii="Times New Roman" w:hAnsi="Times New Roman" w:cs="Times New Roman"/>
      <w:szCs w:val="21"/>
    </w:rPr>
  </w:style>
  <w:style w:type="paragraph" w:styleId="11">
    <w:name w:val="Normal Indent"/>
    <w:basedOn w:val="1"/>
    <w:qFormat/>
    <w:uiPriority w:val="0"/>
    <w:pPr>
      <w:ind w:firstLine="200" w:firstLineChars="200"/>
    </w:pPr>
    <w:rPr>
      <w:rFonts w:ascii="Times New Roman" w:hAnsi="Times New Roman" w:cs="Times New Roman"/>
      <w:szCs w:val="21"/>
    </w:rPr>
  </w:style>
  <w:style w:type="paragraph" w:styleId="12">
    <w:name w:val="caption"/>
    <w:basedOn w:val="1"/>
    <w:next w:val="1"/>
    <w:qFormat/>
    <w:uiPriority w:val="0"/>
    <w:rPr>
      <w:rFonts w:ascii="Calibri Light" w:hAnsi="Calibri Light" w:eastAsia="黑体" w:cs="Times New Roman"/>
      <w:sz w:val="20"/>
      <w:szCs w:val="20"/>
    </w:rPr>
  </w:style>
  <w:style w:type="paragraph" w:styleId="13">
    <w:name w:val="Document Map"/>
    <w:basedOn w:val="1"/>
    <w:qFormat/>
    <w:uiPriority w:val="0"/>
    <w:rPr>
      <w:rFonts w:ascii="宋体" w:cs="Times New Roman"/>
      <w:sz w:val="18"/>
      <w:szCs w:val="18"/>
    </w:rPr>
  </w:style>
  <w:style w:type="paragraph" w:styleId="14">
    <w:name w:val="toa heading"/>
    <w:basedOn w:val="1"/>
    <w:next w:val="1"/>
    <w:qFormat/>
    <w:uiPriority w:val="0"/>
    <w:pPr>
      <w:spacing w:before="120"/>
    </w:pPr>
    <w:rPr>
      <w:rFonts w:ascii="Arial" w:hAnsi="Arial" w:cs="Times New Roman"/>
      <w:b/>
      <w:bCs/>
      <w:szCs w:val="21"/>
    </w:rPr>
  </w:style>
  <w:style w:type="paragraph" w:styleId="15">
    <w:name w:val="annotation text"/>
    <w:basedOn w:val="1"/>
    <w:qFormat/>
    <w:uiPriority w:val="0"/>
    <w:pPr>
      <w:jc w:val="left"/>
    </w:pPr>
  </w:style>
  <w:style w:type="paragraph" w:styleId="16">
    <w:name w:val="Salutation"/>
    <w:basedOn w:val="1"/>
    <w:next w:val="1"/>
    <w:qFormat/>
    <w:uiPriority w:val="0"/>
    <w:rPr>
      <w:rFonts w:ascii="Times New Roman" w:hAnsi="Times New Roman" w:cs="Times New Roman"/>
      <w:szCs w:val="21"/>
    </w:rPr>
  </w:style>
  <w:style w:type="paragraph" w:styleId="17">
    <w:name w:val="List Bullet 3"/>
    <w:basedOn w:val="1"/>
    <w:qFormat/>
    <w:uiPriority w:val="0"/>
    <w:pPr>
      <w:tabs>
        <w:tab w:val="left" w:pos="1200"/>
      </w:tabs>
    </w:pPr>
    <w:rPr>
      <w:rFonts w:ascii="Times New Roman" w:hAnsi="Times New Roman" w:cs="Times New Roman"/>
      <w:szCs w:val="21"/>
    </w:rPr>
  </w:style>
  <w:style w:type="paragraph" w:styleId="18">
    <w:name w:val="Body Text"/>
    <w:basedOn w:val="1"/>
    <w:qFormat/>
    <w:uiPriority w:val="0"/>
    <w:pPr>
      <w:spacing w:after="120"/>
    </w:pPr>
    <w:rPr>
      <w:rFonts w:ascii="Times New Roman" w:hAnsi="Times New Roman" w:cs="Times New Roman"/>
      <w:szCs w:val="21"/>
    </w:rPr>
  </w:style>
  <w:style w:type="paragraph" w:styleId="19">
    <w:name w:val="toc 5"/>
    <w:basedOn w:val="1"/>
    <w:next w:val="1"/>
    <w:qFormat/>
    <w:uiPriority w:val="0"/>
    <w:pPr>
      <w:ind w:left="800" w:leftChars="800"/>
    </w:pPr>
  </w:style>
  <w:style w:type="paragraph" w:styleId="20">
    <w:name w:val="toc 3"/>
    <w:basedOn w:val="1"/>
    <w:next w:val="1"/>
    <w:qFormat/>
    <w:uiPriority w:val="0"/>
    <w:pPr>
      <w:widowControl/>
      <w:spacing w:after="100" w:line="276" w:lineRule="auto"/>
      <w:ind w:left="440"/>
      <w:jc w:val="left"/>
    </w:pPr>
    <w:rPr>
      <w:rFonts w:cs="Times New Roman"/>
      <w:kern w:val="0"/>
      <w:sz w:val="22"/>
    </w:rPr>
  </w:style>
  <w:style w:type="paragraph" w:styleId="21">
    <w:name w:val="Plain Text"/>
    <w:basedOn w:val="1"/>
    <w:qFormat/>
    <w:uiPriority w:val="0"/>
    <w:rPr>
      <w:rFonts w:ascii="宋体" w:cs="Times New Roman"/>
      <w:szCs w:val="20"/>
    </w:rPr>
  </w:style>
  <w:style w:type="paragraph" w:styleId="22">
    <w:name w:val="toc 8"/>
    <w:basedOn w:val="1"/>
    <w:next w:val="1"/>
    <w:qFormat/>
    <w:uiPriority w:val="0"/>
    <w:pPr>
      <w:ind w:left="1400" w:leftChars="1400"/>
    </w:pPr>
  </w:style>
  <w:style w:type="paragraph" w:styleId="23">
    <w:name w:val="Date"/>
    <w:basedOn w:val="1"/>
    <w:next w:val="1"/>
    <w:qFormat/>
    <w:uiPriority w:val="0"/>
    <w:pPr>
      <w:ind w:left="2500" w:leftChars="2500"/>
    </w:pPr>
    <w:rPr>
      <w:rFonts w:ascii="Times New Roman" w:hAnsi="Times New Roman" w:cs="Times New Roman"/>
      <w:szCs w:val="21"/>
    </w:rPr>
  </w:style>
  <w:style w:type="paragraph" w:styleId="24">
    <w:name w:val="endnote text"/>
    <w:basedOn w:val="1"/>
    <w:qFormat/>
    <w:uiPriority w:val="0"/>
    <w:pPr>
      <w:widowControl/>
      <w:snapToGrid w:val="0"/>
      <w:jc w:val="left"/>
    </w:pPr>
    <w:rPr>
      <w:rFonts w:ascii="宋体" w:cs="宋体"/>
      <w:kern w:val="0"/>
      <w:szCs w:val="24"/>
    </w:rPr>
  </w:style>
  <w:style w:type="paragraph" w:styleId="25">
    <w:name w:val="Balloon Text"/>
    <w:basedOn w:val="1"/>
    <w:qFormat/>
    <w:uiPriority w:val="0"/>
    <w:rPr>
      <w:sz w:val="18"/>
      <w:szCs w:val="18"/>
    </w:r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0"/>
  </w:style>
  <w:style w:type="paragraph" w:styleId="29">
    <w:name w:val="toc 4"/>
    <w:basedOn w:val="1"/>
    <w:next w:val="1"/>
    <w:qFormat/>
    <w:uiPriority w:val="0"/>
    <w:pPr>
      <w:ind w:left="600" w:leftChars="600"/>
    </w:pPr>
  </w:style>
  <w:style w:type="paragraph" w:styleId="30">
    <w:name w:val="toc 6"/>
    <w:basedOn w:val="1"/>
    <w:next w:val="1"/>
    <w:qFormat/>
    <w:uiPriority w:val="0"/>
    <w:pPr>
      <w:ind w:left="1000" w:leftChars="1000"/>
    </w:pPr>
  </w:style>
  <w:style w:type="paragraph" w:styleId="31">
    <w:name w:val="toc 2"/>
    <w:basedOn w:val="1"/>
    <w:next w:val="1"/>
    <w:qFormat/>
    <w:uiPriority w:val="0"/>
    <w:pPr>
      <w:ind w:left="200" w:leftChars="200"/>
    </w:pPr>
  </w:style>
  <w:style w:type="paragraph" w:styleId="32">
    <w:name w:val="toc 9"/>
    <w:basedOn w:val="1"/>
    <w:next w:val="1"/>
    <w:qFormat/>
    <w:uiPriority w:val="0"/>
    <w:pPr>
      <w:ind w:left="1600" w:leftChars="1600"/>
    </w:pPr>
  </w:style>
  <w:style w:type="paragraph" w:styleId="33">
    <w:name w:val="Normal (Web)"/>
    <w:basedOn w:val="1"/>
    <w:qFormat/>
    <w:uiPriority w:val="0"/>
    <w:pPr>
      <w:widowControl/>
      <w:spacing w:before="100" w:beforeAutospacing="1" w:after="100" w:afterAutospacing="1"/>
      <w:jc w:val="left"/>
    </w:pPr>
    <w:rPr>
      <w:rFonts w:ascii="宋体" w:cs="宋体"/>
      <w:kern w:val="0"/>
      <w:sz w:val="24"/>
      <w:szCs w:val="24"/>
    </w:rPr>
  </w:style>
  <w:style w:type="paragraph" w:styleId="34">
    <w:name w:val="index 1"/>
    <w:basedOn w:val="1"/>
    <w:next w:val="1"/>
    <w:qFormat/>
    <w:uiPriority w:val="0"/>
    <w:pPr>
      <w:widowControl/>
      <w:ind w:firstLine="200" w:firstLineChars="200"/>
      <w:jc w:val="left"/>
    </w:pPr>
    <w:rPr>
      <w:rFonts w:ascii="宋体" w:cs="Times New Roman"/>
      <w:color w:val="000000"/>
      <w:kern w:val="0"/>
      <w:szCs w:val="21"/>
    </w:rPr>
  </w:style>
  <w:style w:type="paragraph" w:styleId="35">
    <w:name w:val="Title"/>
    <w:basedOn w:val="1"/>
    <w:next w:val="1"/>
    <w:qFormat/>
    <w:uiPriority w:val="0"/>
    <w:pPr>
      <w:spacing w:before="240" w:after="60"/>
      <w:jc w:val="center"/>
      <w:outlineLvl w:val="0"/>
    </w:pPr>
    <w:rPr>
      <w:rFonts w:ascii="Calibri Light" w:hAnsi="Calibri Light" w:cs="Times New Roman"/>
      <w:b/>
      <w:bCs/>
      <w:sz w:val="32"/>
      <w:szCs w:val="32"/>
    </w:rPr>
  </w:style>
  <w:style w:type="paragraph" w:styleId="36">
    <w:name w:val="annotation subject"/>
    <w:basedOn w:val="15"/>
    <w:next w:val="15"/>
    <w:qFormat/>
    <w:uiPriority w:val="0"/>
    <w:rPr>
      <w:b/>
      <w:bCs/>
    </w:rPr>
  </w:style>
  <w:style w:type="character" w:styleId="39">
    <w:name w:val="endnote reference"/>
    <w:basedOn w:val="38"/>
    <w:qFormat/>
    <w:uiPriority w:val="0"/>
    <w:rPr>
      <w:vertAlign w:val="superscript"/>
    </w:rPr>
  </w:style>
  <w:style w:type="character" w:styleId="40">
    <w:name w:val="Hyperlink"/>
    <w:basedOn w:val="38"/>
    <w:qFormat/>
    <w:uiPriority w:val="0"/>
    <w:rPr>
      <w:color w:val="0563C1"/>
      <w:u w:val="single"/>
    </w:rPr>
  </w:style>
  <w:style w:type="character" w:styleId="41">
    <w:name w:val="annotation reference"/>
    <w:basedOn w:val="38"/>
    <w:qFormat/>
    <w:uiPriority w:val="0"/>
    <w:rPr>
      <w:sz w:val="21"/>
      <w:szCs w:val="21"/>
    </w:rPr>
  </w:style>
  <w:style w:type="paragraph" w:customStyle="1" w:styleId="42">
    <w:name w:val="aSTL正文"/>
    <w:basedOn w:val="1"/>
    <w:qFormat/>
    <w:uiPriority w:val="0"/>
    <w:pPr>
      <w:spacing w:line="300" w:lineRule="auto"/>
      <w:ind w:firstLine="200" w:firstLineChars="200"/>
    </w:pPr>
    <w:rPr>
      <w:rFonts w:cs="Times New Roman"/>
      <w:kern w:val="0"/>
      <w:sz w:val="24"/>
      <w:szCs w:val="20"/>
      <w:lang w:val="zh-CN"/>
    </w:rPr>
  </w:style>
  <w:style w:type="paragraph" w:customStyle="1" w:styleId="43">
    <w:name w:val="4.1.1.1.1"/>
    <w:basedOn w:val="1"/>
    <w:qFormat/>
    <w:uiPriority w:val="0"/>
    <w:pPr>
      <w:tabs>
        <w:tab w:val="left" w:pos="142"/>
      </w:tabs>
      <w:spacing w:beforeLines="50" w:afterLines="50"/>
      <w:ind w:left="200" w:leftChars="200"/>
      <w:jc w:val="left"/>
      <w:outlineLvl w:val="3"/>
    </w:pPr>
    <w:rPr>
      <w:rFonts w:ascii="宋体" w:cs="Times New Roman"/>
      <w:b/>
      <w:color w:val="000000"/>
      <w:kern w:val="0"/>
      <w:sz w:val="24"/>
      <w:szCs w:val="24"/>
      <w:lang w:val="zh-CN"/>
    </w:rPr>
  </w:style>
  <w:style w:type="paragraph" w:customStyle="1" w:styleId="44">
    <w:name w:val="列出段落1"/>
    <w:basedOn w:val="1"/>
    <w:qFormat/>
    <w:uiPriority w:val="0"/>
    <w:pPr>
      <w:ind w:firstLine="200" w:firstLineChars="200"/>
    </w:pPr>
    <w:rPr>
      <w:rFonts w:cs="Times New Roman"/>
    </w:rPr>
  </w:style>
  <w:style w:type="paragraph" w:customStyle="1" w:styleId="45">
    <w:name w:val="TOC 标题1"/>
    <w:basedOn w:val="2"/>
    <w:next w:val="1"/>
    <w:qFormat/>
    <w:uiPriority w:val="0"/>
    <w:pPr>
      <w:widowControl/>
      <w:spacing w:before="240" w:after="0" w:line="259" w:lineRule="auto"/>
      <w:jc w:val="left"/>
      <w:outlineLvl w:val="9"/>
    </w:pPr>
    <w:rPr>
      <w:rFonts w:ascii="Calibri Light" w:hAnsi="Calibri Light" w:cs="Times New Roman"/>
      <w:b w:val="0"/>
      <w:bCs w:val="0"/>
      <w:color w:val="2E74B5"/>
      <w:kern w:val="0"/>
      <w:sz w:val="32"/>
      <w:szCs w:val="32"/>
    </w:rPr>
  </w:style>
  <w:style w:type="character" w:customStyle="1" w:styleId="46">
    <w:name w:val="notnullcss1"/>
    <w:basedOn w:val="38"/>
    <w:qFormat/>
    <w:uiPriority w:val="0"/>
    <w:rPr>
      <w:rFonts w:eastAsia="宋体" w:cs="Times New Roman"/>
      <w:color w:val="FF0000"/>
      <w:kern w:val="2"/>
      <w:sz w:val="24"/>
      <w:szCs w:val="24"/>
      <w:lang w:val="en-US" w:eastAsia="zh-CN" w:bidi="ar-SA"/>
    </w:rPr>
  </w:style>
  <w:style w:type="paragraph" w:customStyle="1" w:styleId="47">
    <w:name w:val="xl61"/>
    <w:basedOn w:val="1"/>
    <w:qFormat/>
    <w:uiPriority w:val="0"/>
    <w:pPr>
      <w:widowControl/>
      <w:spacing w:before="100" w:after="100"/>
      <w:jc w:val="right"/>
    </w:pPr>
    <w:rPr>
      <w:rFonts w:ascii="Arial Unicode MS" w:hAnsi="Arial Unicode MS" w:eastAsia="Arial Unicode MS" w:cs="Times New Roman"/>
      <w:kern w:val="0"/>
      <w:sz w:val="18"/>
      <w:szCs w:val="18"/>
    </w:rPr>
  </w:style>
  <w:style w:type="character" w:customStyle="1" w:styleId="48">
    <w:name w:val="headline-content2"/>
    <w:basedOn w:val="38"/>
    <w:qFormat/>
    <w:uiPriority w:val="0"/>
    <w:rPr>
      <w:rFonts w:eastAsia="宋体" w:cs="Times New Roman"/>
      <w:kern w:val="2"/>
      <w:sz w:val="24"/>
      <w:szCs w:val="24"/>
      <w:lang w:val="en-US" w:eastAsia="zh-CN" w:bidi="ar-SA"/>
    </w:rPr>
  </w:style>
  <w:style w:type="paragraph" w:customStyle="1" w:styleId="49">
    <w:name w:val="write2"/>
    <w:basedOn w:val="1"/>
    <w:qFormat/>
    <w:uiPriority w:val="0"/>
    <w:pPr>
      <w:widowControl/>
      <w:tabs>
        <w:tab w:val="left" w:pos="709"/>
      </w:tabs>
      <w:overflowPunct w:val="0"/>
      <w:autoSpaceDE w:val="0"/>
      <w:autoSpaceDN w:val="0"/>
      <w:adjustRightInd w:val="0"/>
      <w:textAlignment w:val="baseline"/>
    </w:pPr>
    <w:rPr>
      <w:rFonts w:ascii="Helvetica-Narrow" w:hAnsi="Helvetica-Narrow" w:cs="Times New Roman"/>
      <w:kern w:val="0"/>
      <w:szCs w:val="24"/>
      <w:lang w:val="en-AU"/>
    </w:rPr>
  </w:style>
  <w:style w:type="paragraph" w:customStyle="1" w:styleId="50">
    <w:name w:val="标题5"/>
    <w:basedOn w:val="1"/>
    <w:qFormat/>
    <w:uiPriority w:val="0"/>
    <w:pPr>
      <w:keepNext/>
      <w:keepLines/>
      <w:spacing w:before="60" w:after="60"/>
      <w:ind w:left="200" w:hanging="200" w:hangingChars="200"/>
      <w:outlineLvl w:val="4"/>
    </w:pPr>
    <w:rPr>
      <w:rFonts w:ascii="宋体" w:cs="Times New Roman"/>
      <w:b/>
      <w:bCs/>
      <w:szCs w:val="21"/>
    </w:rPr>
  </w:style>
  <w:style w:type="paragraph" w:customStyle="1" w:styleId="51">
    <w:name w:val="修订1"/>
    <w:qFormat/>
    <w:uiPriority w:val="0"/>
    <w:rPr>
      <w:rFonts w:ascii="Calibri" w:hAnsi="Calibri" w:eastAsia="宋体" w:cs="Times New Roman"/>
      <w:kern w:val="2"/>
      <w:sz w:val="21"/>
      <w:szCs w:val="22"/>
      <w:lang w:val="en-US" w:eastAsia="zh-CN" w:bidi="ar-SA"/>
    </w:rPr>
  </w:style>
  <w:style w:type="paragraph" w:customStyle="1" w:styleId="52">
    <w:name w:val="正文的样式"/>
    <w:basedOn w:val="1"/>
    <w:qFormat/>
    <w:uiPriority w:val="0"/>
    <w:pPr>
      <w:spacing w:before="100" w:after="100"/>
    </w:pPr>
    <w:rPr>
      <w:szCs w:val="24"/>
    </w:rPr>
  </w:style>
  <w:style w:type="character" w:customStyle="1" w:styleId="53">
    <w:name w:val="占位符文本1"/>
    <w:basedOn w:val="38"/>
    <w:qFormat/>
    <w:uiPriority w:val="0"/>
    <w:rPr>
      <w:color w:val="auto"/>
    </w:rPr>
  </w:style>
  <w:style w:type="paragraph" w:customStyle="1" w:styleId="54">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5">
    <w:name w:val="批注主题 Char1"/>
    <w:qFormat/>
    <w:uiPriority w:val="0"/>
    <w:rPr>
      <w:rFonts w:ascii="Times New Roman" w:hAnsi="Times New Roman" w:eastAsia="宋体" w:cs="Times New Roman"/>
      <w:b/>
      <w:bCs/>
      <w:szCs w:val="21"/>
    </w:rPr>
  </w:style>
  <w:style w:type="character" w:customStyle="1" w:styleId="56">
    <w:name w:val="span_"/>
    <w:basedOn w:val="38"/>
    <w:qFormat/>
    <w:uiPriority w:val="0"/>
  </w:style>
  <w:style w:type="paragraph" w:customStyle="1" w:styleId="57">
    <w:name w:val="标题  3"/>
    <w:basedOn w:val="1"/>
    <w:next w:val="1"/>
    <w:qFormat/>
    <w:uiPriority w:val="0"/>
    <w:pPr>
      <w:keepNext/>
      <w:keepLines/>
      <w:spacing w:before="100" w:beforeAutospacing="1" w:after="100" w:afterAutospacing="1" w:line="415" w:lineRule="auto"/>
    </w:pPr>
    <w:rPr>
      <w:rFonts w:ascii="Times New Roman" w:hAnsi="Times New Roman" w:cs="Times New Roman"/>
      <w:b/>
      <w:szCs w:val="24"/>
    </w:rPr>
  </w:style>
  <w:style w:type="paragraph" w:customStyle="1" w:styleId="58">
    <w:name w:val="列出段落11"/>
    <w:basedOn w:val="1"/>
    <w:qFormat/>
    <w:uiPriority w:val="0"/>
    <w:pPr>
      <w:ind w:firstLine="200" w:firstLineChars="200"/>
    </w:pPr>
    <w:rPr>
      <w:rFonts w:cs="Calibri"/>
      <w:szCs w:val="21"/>
    </w:rPr>
  </w:style>
  <w:style w:type="paragraph" w:customStyle="1" w:styleId="59">
    <w:name w:val="报告正文格式1"/>
    <w:basedOn w:val="1"/>
    <w:qFormat/>
    <w:uiPriority w:val="0"/>
    <w:pPr>
      <w:spacing w:line="360" w:lineRule="auto"/>
      <w:ind w:firstLine="200" w:firstLineChars="200"/>
      <w:jc w:val="left"/>
    </w:pPr>
    <w:rPr>
      <w:rFonts w:ascii="Times New Roman" w:hAnsi="Times New Roman" w:eastAsia="仿宋" w:cs="Times New Roman"/>
      <w:bCs/>
      <w:sz w:val="24"/>
      <w:szCs w:val="24"/>
    </w:rPr>
  </w:style>
  <w:style w:type="paragraph" w:customStyle="1" w:styleId="6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61">
    <w:name w:val="标题三"/>
    <w:basedOn w:val="1"/>
    <w:qFormat/>
    <w:uiPriority w:val="0"/>
    <w:pPr>
      <w:spacing w:line="360" w:lineRule="auto"/>
      <w:jc w:val="left"/>
      <w:outlineLvl w:val="2"/>
    </w:pPr>
    <w:rPr>
      <w:rFonts w:ascii="Times New Roman" w:hAnsi="Times New Roman" w:cs="Times New Roman"/>
      <w:b/>
      <w:sz w:val="24"/>
      <w:szCs w:val="24"/>
    </w:rPr>
  </w:style>
  <w:style w:type="paragraph" w:styleId="6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6428</Words>
  <Characters>6710</Characters>
  <Lines>59</Lines>
  <Paragraphs>16</Paragraphs>
  <TotalTime>0</TotalTime>
  <ScaleCrop>false</ScaleCrop>
  <LinksUpToDate>false</LinksUpToDate>
  <CharactersWithSpaces>6786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2019-11-09T05:21:00Z</dcterms:created>
  <dc:creator>Meng Tang</dc:creator>
  <cp:lastModifiedBy>xz</cp:lastModifiedBy>
  <dcterms:modified xsi:type="dcterms:W3CDTF">2024-12-11T00:45:15Z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AE685CDDB98A4169974DCB01EC3488BB_13</vt:lpwstr>
  </property>
</Properties>
</file>